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3D2E90">
      <w:pPr>
        <w:pStyle w:val="CH"/>
      </w:pPr>
      <w:bookmarkStart w:id="0" w:name="historyclause"/>
      <w:r>
        <w:t>3GPP TSG-R</w:t>
      </w:r>
      <w:r w:rsidR="000B6BBB">
        <w:t>AN WG4 Meeting #10</w:t>
      </w:r>
      <w:r w:rsidR="00E531EF">
        <w:t>1</w:t>
      </w:r>
      <w:r w:rsidR="0037399D">
        <w:t>-</w:t>
      </w:r>
      <w:r w:rsidR="00A95FA5">
        <w:t>e</w:t>
      </w:r>
      <w:r w:rsidR="00A95FA5">
        <w:tab/>
      </w:r>
      <w:r w:rsidR="00A95FA5">
        <w:tab/>
        <w:t>R4-21</w:t>
      </w:r>
      <w:r w:rsidR="00324A85">
        <w:t>19076</w:t>
      </w:r>
      <w:bookmarkStart w:id="1" w:name="_GoBack"/>
      <w:bookmarkEnd w:id="1"/>
    </w:p>
    <w:p w:rsidR="00AD1856" w:rsidRDefault="008D228C">
      <w:pPr>
        <w:pStyle w:val="CH"/>
        <w:tabs>
          <w:tab w:val="clear" w:pos="7920"/>
        </w:tabs>
        <w:rPr>
          <w:b w:val="0"/>
        </w:rPr>
      </w:pPr>
      <w:r>
        <w:t xml:space="preserve">Electronic meeting, </w:t>
      </w:r>
      <w:r w:rsidR="00E531EF">
        <w:t xml:space="preserve">Nov </w:t>
      </w:r>
      <w:r w:rsidR="00F15E3B">
        <w:t>1</w:t>
      </w:r>
      <w:r w:rsidR="00A95FA5">
        <w:t xml:space="preserve"> </w:t>
      </w:r>
      <w:r>
        <w:t>–</w:t>
      </w:r>
      <w:r w:rsidR="00A95FA5">
        <w:t xml:space="preserve"> </w:t>
      </w:r>
      <w:r w:rsidR="00E531EF">
        <w:t>12</w:t>
      </w:r>
      <w:r w:rsidR="00A95FA5">
        <w:t>, 2021</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8007F8">
        <w:t>9.3</w:t>
      </w:r>
      <w:r w:rsidR="00084A16">
        <w:t>.</w:t>
      </w:r>
      <w:r w:rsidR="008007F8">
        <w:t>3.</w:t>
      </w:r>
      <w:r w:rsidR="00084A16">
        <w:t>1</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2" w:name="OLE_LINK1"/>
      <w:r w:rsidR="00E531EF">
        <w:t xml:space="preserve">Discussion on </w:t>
      </w:r>
      <w:r w:rsidR="008007F8">
        <w:t>using delta TIB and RIB values</w:t>
      </w:r>
      <w:bookmarkEnd w:id="2"/>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8007F8" w:rsidRDefault="00CC3B8E" w:rsidP="004329A1">
      <w:r>
        <w:t xml:space="preserve">In </w:t>
      </w:r>
      <w:r w:rsidR="008007F8">
        <w:t>previous RAN4 meetings, how to optimize the delta T</w:t>
      </w:r>
      <w:r w:rsidR="008007F8" w:rsidRPr="008007F8">
        <w:rPr>
          <w:vertAlign w:val="subscript"/>
        </w:rPr>
        <w:t>IB</w:t>
      </w:r>
      <w:r w:rsidR="008007F8">
        <w:t xml:space="preserve"> and R</w:t>
      </w:r>
      <w:r w:rsidR="008007F8" w:rsidRPr="008007F8">
        <w:rPr>
          <w:vertAlign w:val="subscript"/>
        </w:rPr>
        <w:t>IB</w:t>
      </w:r>
      <w:r w:rsidR="008007F8">
        <w:t xml:space="preserve"> values has been intensively discussed. </w:t>
      </w:r>
      <w:r w:rsidR="00C13DCB">
        <w:t>During the discussion, both reduction ratio and readability of delta T</w:t>
      </w:r>
      <w:r w:rsidR="00C13DCB" w:rsidRPr="008007F8">
        <w:rPr>
          <w:vertAlign w:val="subscript"/>
        </w:rPr>
        <w:t>IB</w:t>
      </w:r>
      <w:r w:rsidR="00C13DCB">
        <w:t xml:space="preserve"> and R</w:t>
      </w:r>
      <w:r w:rsidR="00C13DCB" w:rsidRPr="008007F8">
        <w:rPr>
          <w:vertAlign w:val="subscript"/>
        </w:rPr>
        <w:t>IB</w:t>
      </w:r>
      <w:r w:rsidR="00C13DCB">
        <w:t xml:space="preserve"> </w:t>
      </w:r>
      <w:r w:rsidR="00C13DCB">
        <w:rPr>
          <w:rFonts w:hint="eastAsia"/>
        </w:rPr>
        <w:t>are</w:t>
      </w:r>
      <w:r w:rsidR="00C13DCB">
        <w:t xml:space="preserve"> suggested to be considered. Currently there are two approaches proposed. One is </w:t>
      </w:r>
      <w:r w:rsidR="008007F8">
        <w:t xml:space="preserve">based on </w:t>
      </w:r>
      <w:r w:rsidR="00B63111">
        <w:t xml:space="preserve">the </w:t>
      </w:r>
      <w:r w:rsidR="008007F8">
        <w:t xml:space="preserve">optimized </w:t>
      </w:r>
      <w:r w:rsidR="00C13DCB">
        <w:t>delta T</w:t>
      </w:r>
      <w:r w:rsidR="00C13DCB" w:rsidRPr="008007F8">
        <w:rPr>
          <w:vertAlign w:val="subscript"/>
        </w:rPr>
        <w:t>IB</w:t>
      </w:r>
      <w:r w:rsidR="00C13DCB">
        <w:t xml:space="preserve"> and R</w:t>
      </w:r>
      <w:r w:rsidR="00C13DCB" w:rsidRPr="008007F8">
        <w:rPr>
          <w:vertAlign w:val="subscript"/>
        </w:rPr>
        <w:t>IB</w:t>
      </w:r>
      <w:r w:rsidR="00C13DCB">
        <w:t xml:space="preserve"> </w:t>
      </w:r>
      <w:r w:rsidR="008007F8">
        <w:t>table</w:t>
      </w:r>
      <w:r w:rsidR="000E6B9F">
        <w:t xml:space="preserve"> [1, 2]</w:t>
      </w:r>
      <w:r w:rsidR="00C13DCB">
        <w:t>,</w:t>
      </w:r>
      <w:r w:rsidR="008007F8">
        <w:t xml:space="preserve"> </w:t>
      </w:r>
      <w:r w:rsidR="00C13DCB">
        <w:t>and the other is rule based approach</w:t>
      </w:r>
      <w:r w:rsidR="000E6B9F">
        <w:t xml:space="preserve"> [3]</w:t>
      </w:r>
      <w:r w:rsidR="00C13DCB">
        <w:t>.</w:t>
      </w:r>
      <w:r w:rsidR="000E6B9F">
        <w:t xml:space="preserve"> </w:t>
      </w:r>
      <w:r w:rsidR="000E6B9F">
        <w:rPr>
          <w:rFonts w:hint="eastAsia"/>
        </w:rPr>
        <w:t>I</w:t>
      </w:r>
      <w:r w:rsidR="000E6B9F">
        <w:t>n last RAN4 meeting, the statistical analyses of NR CA and EN-DC delta TIB values have been proposed based on the following rule set.</w:t>
      </w:r>
    </w:p>
    <w:p w:rsidR="000E6B9F" w:rsidRPr="000E6B9F" w:rsidRDefault="000E6B9F" w:rsidP="000E6B9F">
      <w:pPr>
        <w:numPr>
          <w:ilvl w:val="1"/>
          <w:numId w:val="48"/>
        </w:numPr>
        <w:overflowPunct w:val="0"/>
        <w:autoSpaceDE w:val="0"/>
        <w:adjustRightInd w:val="0"/>
        <w:spacing w:before="0" w:beforeAutospacing="0" w:after="0"/>
        <w:ind w:left="1077" w:hanging="357"/>
        <w:textAlignment w:val="center"/>
        <w:rPr>
          <w:rFonts w:eastAsia="Times New Roman"/>
        </w:rPr>
      </w:pPr>
      <w:r w:rsidRPr="000E6B9F">
        <w:rPr>
          <w:rFonts w:eastAsia="Times New Roman"/>
          <w:sz w:val="21"/>
          <w:szCs w:val="21"/>
        </w:rPr>
        <w:t xml:space="preserve">L-bands in above are below 1GHz </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H-bands above 1 GHz and below 3GHz</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 xml:space="preserve">VH-bands are above 3 GHz </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H-L dTib=0.3 and dRib=0</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L-L and H-H dTib=0.5 and dRib=0 (exception 1+3 dTib=0.3 and dRib=0)</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VH bands dTib=0.8 and dRib=0.5</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L-VH: L dTib=0.3 and dRib=0 and VH band dTib=0.8 and dRib=0.5</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H-VH: H dTib=0.5 and dRib=0 and VH band dTib=0.8 and dRib=0.5</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Carriers in bands with a harmonic falling onto one of the DLs: dTIB = 0.6 dB</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n79 with L and/or H bands dTib=0</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if not specified above then dRib = dTib-0.5 dB</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L-L-L and H-H-H case by case study</w:t>
      </w:r>
    </w:p>
    <w:p w:rsidR="000E6B9F" w:rsidRPr="000E6B9F" w:rsidRDefault="000E6B9F" w:rsidP="000E6B9F">
      <w:pPr>
        <w:numPr>
          <w:ilvl w:val="1"/>
          <w:numId w:val="48"/>
        </w:numPr>
        <w:overflowPunct w:val="0"/>
        <w:autoSpaceDE w:val="0"/>
        <w:adjustRightInd w:val="0"/>
        <w:spacing w:after="0"/>
        <w:ind w:left="1080"/>
        <w:textAlignment w:val="center"/>
        <w:rPr>
          <w:rFonts w:eastAsia="Times New Roman"/>
        </w:rPr>
      </w:pPr>
      <w:r w:rsidRPr="000E6B9F">
        <w:rPr>
          <w:rFonts w:eastAsia="Times New Roman"/>
          <w:sz w:val="21"/>
          <w:szCs w:val="21"/>
        </w:rPr>
        <w:t>Combinations with notes are handled case by case</w:t>
      </w:r>
    </w:p>
    <w:p w:rsidR="009C41CF" w:rsidRDefault="009621B3" w:rsidP="004329A1">
      <w:r>
        <w:rPr>
          <w:rFonts w:hint="eastAsia"/>
          <w:color w:val="000000" w:themeColor="text1"/>
        </w:rPr>
        <w:t>H</w:t>
      </w:r>
      <w:r>
        <w:rPr>
          <w:color w:val="000000" w:themeColor="text1"/>
        </w:rPr>
        <w:t xml:space="preserve">owever, due to </w:t>
      </w:r>
      <w:r w:rsidR="007A55BD">
        <w:rPr>
          <w:color w:val="000000" w:themeColor="text1"/>
        </w:rPr>
        <w:t>missing the cases where delta T</w:t>
      </w:r>
      <w:r w:rsidR="007A55BD" w:rsidRPr="007A55BD">
        <w:rPr>
          <w:color w:val="000000" w:themeColor="text1"/>
          <w:vertAlign w:val="subscript"/>
        </w:rPr>
        <w:t>IB</w:t>
      </w:r>
      <w:r w:rsidR="007A55BD">
        <w:rPr>
          <w:color w:val="000000" w:themeColor="text1"/>
        </w:rPr>
        <w:t>=0 and “0” is not listed in the table</w:t>
      </w:r>
      <w:r>
        <w:rPr>
          <w:color w:val="000000" w:themeColor="text1"/>
        </w:rPr>
        <w:t xml:space="preserve">, </w:t>
      </w:r>
      <w:r w:rsidR="007A55BD">
        <w:rPr>
          <w:color w:val="000000" w:themeColor="text1"/>
        </w:rPr>
        <w:t xml:space="preserve">and the result of </w:t>
      </w:r>
      <w:r w:rsidR="00852642">
        <w:rPr>
          <w:color w:val="000000" w:themeColor="text1"/>
        </w:rPr>
        <w:t>delta R</w:t>
      </w:r>
      <w:r w:rsidR="00852642" w:rsidRPr="00852642">
        <w:rPr>
          <w:color w:val="000000" w:themeColor="text1"/>
          <w:vertAlign w:val="subscript"/>
        </w:rPr>
        <w:t>IB</w:t>
      </w:r>
      <w:r w:rsidR="00852642">
        <w:rPr>
          <w:color w:val="000000" w:themeColor="text1"/>
        </w:rPr>
        <w:t xml:space="preserve"> is not provided, the</w:t>
      </w:r>
      <w:r>
        <w:rPr>
          <w:color w:val="000000" w:themeColor="text1"/>
        </w:rPr>
        <w:t xml:space="preserve"> </w:t>
      </w:r>
      <w:r w:rsidR="007A55BD">
        <w:rPr>
          <w:color w:val="000000" w:themeColor="text1"/>
        </w:rPr>
        <w:t xml:space="preserve">analysis </w:t>
      </w:r>
      <w:r>
        <w:rPr>
          <w:color w:val="000000" w:themeColor="text1"/>
        </w:rPr>
        <w:t xml:space="preserve">results </w:t>
      </w:r>
      <w:r w:rsidR="007A55BD">
        <w:rPr>
          <w:color w:val="000000" w:themeColor="text1"/>
        </w:rPr>
        <w:t xml:space="preserve">in [3] </w:t>
      </w:r>
      <w:r w:rsidR="009C41CF">
        <w:rPr>
          <w:color w:val="000000" w:themeColor="text1"/>
        </w:rPr>
        <w:t xml:space="preserve">are incomplete and </w:t>
      </w:r>
      <w:r>
        <w:rPr>
          <w:color w:val="000000" w:themeColor="text1"/>
        </w:rPr>
        <w:t xml:space="preserve">need to be updated in this meeting. </w:t>
      </w:r>
      <w:r w:rsidR="0042715E">
        <w:rPr>
          <w:rFonts w:hint="eastAsia"/>
        </w:rPr>
        <w:t>I</w:t>
      </w:r>
      <w:r w:rsidR="0042715E">
        <w:t xml:space="preserve">n </w:t>
      </w:r>
      <w:r w:rsidR="009C41CF">
        <w:t xml:space="preserve">this paper, we’d like to further discuss the principle of </w:t>
      </w:r>
      <w:r w:rsidR="00C05576">
        <w:t>apply</w:t>
      </w:r>
      <w:r w:rsidR="009C41CF">
        <w:t>ing the delta TIB and RIB values.</w:t>
      </w:r>
    </w:p>
    <w:p w:rsidR="00896C6D" w:rsidRDefault="00896C6D" w:rsidP="00896C6D">
      <w:pPr>
        <w:pStyle w:val="1"/>
        <w:numPr>
          <w:ilvl w:val="0"/>
          <w:numId w:val="23"/>
        </w:numPr>
        <w:rPr>
          <w:lang w:val="en-US" w:eastAsia="zh-CN"/>
        </w:rPr>
      </w:pPr>
      <w:r>
        <w:rPr>
          <w:lang w:val="en-US" w:eastAsia="zh-CN"/>
        </w:rPr>
        <w:t>Discussion</w:t>
      </w:r>
    </w:p>
    <w:p w:rsidR="009C41CF" w:rsidRPr="000E6B9F" w:rsidRDefault="009C41CF" w:rsidP="009C41CF">
      <w:r>
        <w:t>In moderator summary in [4], the following issues were raised.</w:t>
      </w:r>
    </w:p>
    <w:p w:rsidR="009C41CF" w:rsidRPr="0042715E" w:rsidRDefault="009C41CF" w:rsidP="009C41CF">
      <w:pPr>
        <w:overflowPunct w:val="0"/>
        <w:autoSpaceDE w:val="0"/>
        <w:autoSpaceDN w:val="0"/>
        <w:adjustRightInd w:val="0"/>
        <w:spacing w:before="0" w:beforeAutospacing="0" w:after="0"/>
        <w:textAlignment w:val="baseline"/>
        <w:rPr>
          <w:rFonts w:eastAsia="Yu Mincho"/>
          <w:color w:val="000000" w:themeColor="text1"/>
          <w:sz w:val="22"/>
          <w:szCs w:val="22"/>
          <w:u w:val="single"/>
        </w:rPr>
      </w:pPr>
      <w:r w:rsidRPr="0042715E">
        <w:rPr>
          <w:rFonts w:eastAsia="Yu Mincho"/>
          <w:color w:val="000000" w:themeColor="text1"/>
          <w:u w:val="single"/>
        </w:rPr>
        <w:t>Issue 4-2A: How to apply rules to new combos?</w:t>
      </w:r>
    </w:p>
    <w:p w:rsidR="009C41CF" w:rsidRPr="0042715E" w:rsidRDefault="009C41CF" w:rsidP="009C41CF">
      <w:pPr>
        <w:overflowPunct w:val="0"/>
        <w:autoSpaceDE w:val="0"/>
        <w:autoSpaceDN w:val="0"/>
        <w:adjustRightInd w:val="0"/>
        <w:spacing w:before="0" w:beforeAutospacing="0" w:after="0"/>
        <w:textAlignment w:val="baseline"/>
        <w:rPr>
          <w:rFonts w:eastAsia="Yu Mincho"/>
          <w:color w:val="000000" w:themeColor="text1"/>
          <w:u w:val="single"/>
        </w:rPr>
      </w:pPr>
      <w:r w:rsidRPr="0042715E">
        <w:rPr>
          <w:rFonts w:eastAsia="Yu Mincho"/>
          <w:color w:val="000000" w:themeColor="text1"/>
          <w:u w:val="single"/>
        </w:rPr>
        <w:t>Issue 4-2B: How to apply rules to existing combos?</w:t>
      </w:r>
    </w:p>
    <w:p w:rsidR="009C41CF" w:rsidRPr="0042715E" w:rsidRDefault="009C41CF" w:rsidP="009C41CF">
      <w:pPr>
        <w:overflowPunct w:val="0"/>
        <w:autoSpaceDE w:val="0"/>
        <w:autoSpaceDN w:val="0"/>
        <w:adjustRightInd w:val="0"/>
        <w:spacing w:before="0" w:beforeAutospacing="0" w:after="0"/>
        <w:textAlignment w:val="baseline"/>
        <w:rPr>
          <w:rFonts w:eastAsia="Yu Mincho"/>
          <w:color w:val="000000" w:themeColor="text1"/>
          <w:u w:val="single"/>
        </w:rPr>
      </w:pPr>
      <w:r w:rsidRPr="0042715E">
        <w:rPr>
          <w:rFonts w:eastAsia="Yu Mincho"/>
          <w:color w:val="000000" w:themeColor="text1"/>
          <w:u w:val="single"/>
        </w:rPr>
        <w:t>Issue 4-2C: Are the following rules for determining delta TIB and RIB acceptable?</w:t>
      </w:r>
    </w:p>
    <w:p w:rsidR="009C41CF" w:rsidRPr="0042715E" w:rsidRDefault="009C41CF" w:rsidP="009C41CF">
      <w:pPr>
        <w:overflowPunct w:val="0"/>
        <w:autoSpaceDE w:val="0"/>
        <w:autoSpaceDN w:val="0"/>
        <w:adjustRightInd w:val="0"/>
        <w:spacing w:before="0" w:beforeAutospacing="0" w:after="0"/>
        <w:textAlignment w:val="baseline"/>
        <w:rPr>
          <w:rFonts w:eastAsia="Yu Mincho"/>
          <w:color w:val="000000" w:themeColor="text1"/>
          <w:u w:val="single"/>
        </w:rPr>
      </w:pPr>
      <w:r w:rsidRPr="0042715E">
        <w:rPr>
          <w:rFonts w:eastAsia="Yu Mincho"/>
          <w:color w:val="000000" w:themeColor="text1"/>
          <w:u w:val="single"/>
        </w:rPr>
        <w:t>Issue 4-2D: If table format for delta TIB and RIB is kept, which of the following options are preferable? And which of the following options are non-acceptable?</w:t>
      </w:r>
    </w:p>
    <w:p w:rsidR="009C41CF" w:rsidRDefault="000749EF" w:rsidP="00896C6D">
      <w:r>
        <w:t xml:space="preserve">Although </w:t>
      </w:r>
      <w:r w:rsidR="009C41CF">
        <w:t>it is decided to wait for update result before making the decision</w:t>
      </w:r>
      <w:r w:rsidR="007A55BD">
        <w:t>,</w:t>
      </w:r>
      <w:r w:rsidR="009C41CF">
        <w:t xml:space="preserve"> </w:t>
      </w:r>
      <w:r w:rsidR="007A55BD">
        <w:t xml:space="preserve">we think it </w:t>
      </w:r>
      <w:r w:rsidR="001F1014">
        <w:t>is timely</w:t>
      </w:r>
      <w:r w:rsidR="007A55BD">
        <w:t xml:space="preserve"> to discuss the principle of using the delta T</w:t>
      </w:r>
      <w:r w:rsidR="007A55BD" w:rsidRPr="001F1014">
        <w:rPr>
          <w:vertAlign w:val="subscript"/>
        </w:rPr>
        <w:t>IB</w:t>
      </w:r>
      <w:r w:rsidR="007A55BD">
        <w:t xml:space="preserve"> and R</w:t>
      </w:r>
      <w:r w:rsidR="007A55BD" w:rsidRPr="001F1014">
        <w:rPr>
          <w:vertAlign w:val="subscript"/>
        </w:rPr>
        <w:t>IB</w:t>
      </w:r>
      <w:r w:rsidR="007A55BD">
        <w:t xml:space="preserve"> values </w:t>
      </w:r>
      <w:r w:rsidR="001F1014">
        <w:t xml:space="preserve">at this point of time </w:t>
      </w:r>
      <w:r w:rsidR="007A55BD">
        <w:t>since the missing cases</w:t>
      </w:r>
      <w:r w:rsidR="001F1014">
        <w:t xml:space="preserve"> are limited and the distribution of delta R</w:t>
      </w:r>
      <w:r w:rsidR="001F1014" w:rsidRPr="001F1014">
        <w:rPr>
          <w:vertAlign w:val="subscript"/>
        </w:rPr>
        <w:t>IB</w:t>
      </w:r>
      <w:r w:rsidR="001F1014">
        <w:t xml:space="preserve"> is expected to be similar to that of delta T</w:t>
      </w:r>
      <w:r w:rsidR="001F1014" w:rsidRPr="001F1014">
        <w:rPr>
          <w:vertAlign w:val="subscript"/>
        </w:rPr>
        <w:t>IB</w:t>
      </w:r>
      <w:r w:rsidR="009C41CF">
        <w:t>.</w:t>
      </w:r>
    </w:p>
    <w:p w:rsidR="001F1014" w:rsidRDefault="00C9487B" w:rsidP="00896C6D">
      <w:r>
        <w:rPr>
          <w:rFonts w:hint="eastAsia"/>
        </w:rPr>
        <w:lastRenderedPageBreak/>
        <w:t>F</w:t>
      </w:r>
      <w:r>
        <w:t xml:space="preserve">rom the limited analysis in [3], it shows that most of the cases do comply with the hypothesis in the rules. </w:t>
      </w:r>
      <w:r w:rsidR="00717DDC">
        <w:t>There is no doubt that it can achieve t</w:t>
      </w:r>
      <w:r w:rsidR="00FE54BD">
        <w:t>he goal of simplifying existing delta T</w:t>
      </w:r>
      <w:r w:rsidR="00FE54BD" w:rsidRPr="00FE54BD">
        <w:rPr>
          <w:vertAlign w:val="subscript"/>
        </w:rPr>
        <w:t>IB</w:t>
      </w:r>
      <w:r w:rsidR="00FE54BD">
        <w:t xml:space="preserve"> and R</w:t>
      </w:r>
      <w:r w:rsidR="00FE54BD" w:rsidRPr="00FE54BD">
        <w:rPr>
          <w:vertAlign w:val="subscript"/>
        </w:rPr>
        <w:t>IB</w:t>
      </w:r>
      <w:r w:rsidR="00FE54BD">
        <w:t xml:space="preserve"> tables by using the rules.</w:t>
      </w:r>
      <w:r w:rsidR="00717DDC">
        <w:t xml:space="preserve"> </w:t>
      </w:r>
      <w:r w:rsidR="00850D60">
        <w:t>Each hypothesis in the rule has the exception cases. Although for some hypotheses the exception cases are few, for some other hypotheses there are still lots of exception cases which means the optimization to the current delta T</w:t>
      </w:r>
      <w:r w:rsidR="00850D60" w:rsidRPr="00850D60">
        <w:rPr>
          <w:vertAlign w:val="subscript"/>
        </w:rPr>
        <w:t>IB</w:t>
      </w:r>
      <w:r w:rsidR="00850D60">
        <w:t xml:space="preserve"> and R</w:t>
      </w:r>
      <w:r w:rsidR="00850D60" w:rsidRPr="00850D60">
        <w:rPr>
          <w:vertAlign w:val="subscript"/>
        </w:rPr>
        <w:t>IB</w:t>
      </w:r>
      <w:r w:rsidR="00850D60">
        <w:t xml:space="preserve"> table</w:t>
      </w:r>
      <w:r w:rsidR="004A74E5">
        <w:t>s</w:t>
      </w:r>
      <w:r w:rsidR="00850D60">
        <w:t xml:space="preserve"> </w:t>
      </w:r>
      <w:r w:rsidR="004A74E5">
        <w:t>is</w:t>
      </w:r>
      <w:r w:rsidR="00850D60">
        <w:t xml:space="preserve"> still needed.</w:t>
      </w:r>
    </w:p>
    <w:p w:rsidR="00C9487B" w:rsidRDefault="00C9487B" w:rsidP="00C9487B">
      <w:pPr>
        <w:rPr>
          <w:b/>
        </w:rPr>
      </w:pPr>
      <w:r>
        <w:rPr>
          <w:b/>
        </w:rPr>
        <w:t>Observation 1:</w:t>
      </w:r>
      <w:r>
        <w:rPr>
          <w:b/>
        </w:rPr>
        <w:tab/>
        <w:t xml:space="preserve"> The </w:t>
      </w:r>
      <w:r w:rsidR="00752446">
        <w:rPr>
          <w:b/>
        </w:rPr>
        <w:t>benefit</w:t>
      </w:r>
      <w:r w:rsidR="00371E88">
        <w:rPr>
          <w:b/>
        </w:rPr>
        <w:t xml:space="preserve"> </w:t>
      </w:r>
      <w:r w:rsidR="00C868F1">
        <w:rPr>
          <w:b/>
        </w:rPr>
        <w:t>of rule based delta T</w:t>
      </w:r>
      <w:r w:rsidR="00C868F1" w:rsidRPr="00C868F1">
        <w:rPr>
          <w:b/>
          <w:vertAlign w:val="subscript"/>
        </w:rPr>
        <w:t>IB</w:t>
      </w:r>
      <w:r w:rsidR="00C868F1">
        <w:rPr>
          <w:b/>
        </w:rPr>
        <w:t xml:space="preserve"> and R</w:t>
      </w:r>
      <w:r w:rsidR="00C868F1" w:rsidRPr="00C868F1">
        <w:rPr>
          <w:b/>
          <w:vertAlign w:val="subscript"/>
        </w:rPr>
        <w:t>IB</w:t>
      </w:r>
      <w:r w:rsidR="00C868F1">
        <w:rPr>
          <w:b/>
        </w:rPr>
        <w:t xml:space="preserve"> optimization is obvious.</w:t>
      </w:r>
    </w:p>
    <w:p w:rsidR="00C868F1" w:rsidRDefault="00C868F1" w:rsidP="00C868F1">
      <w:pPr>
        <w:rPr>
          <w:b/>
        </w:rPr>
      </w:pPr>
      <w:r>
        <w:rPr>
          <w:b/>
        </w:rPr>
        <w:t>Observation 2:</w:t>
      </w:r>
      <w:r>
        <w:rPr>
          <w:b/>
        </w:rPr>
        <w:tab/>
        <w:t xml:space="preserve"> </w:t>
      </w:r>
      <w:r w:rsidR="004B514D">
        <w:rPr>
          <w:b/>
        </w:rPr>
        <w:t>For some hypotheses in the rule set, t</w:t>
      </w:r>
      <w:r>
        <w:rPr>
          <w:b/>
        </w:rPr>
        <w:t>here are still many exception</w:t>
      </w:r>
      <w:r w:rsidR="004A74E5">
        <w:rPr>
          <w:b/>
        </w:rPr>
        <w:t xml:space="preserve"> cases</w:t>
      </w:r>
      <w:r>
        <w:rPr>
          <w:b/>
        </w:rPr>
        <w:t xml:space="preserve"> to </w:t>
      </w:r>
      <w:r w:rsidR="004B514D">
        <w:rPr>
          <w:b/>
        </w:rPr>
        <w:t>delta T</w:t>
      </w:r>
      <w:r w:rsidR="004B514D" w:rsidRPr="00C868F1">
        <w:rPr>
          <w:b/>
          <w:vertAlign w:val="subscript"/>
        </w:rPr>
        <w:t>IB</w:t>
      </w:r>
      <w:r w:rsidR="004B514D">
        <w:rPr>
          <w:b/>
        </w:rPr>
        <w:t xml:space="preserve"> and R</w:t>
      </w:r>
      <w:r w:rsidR="004B514D" w:rsidRPr="00C868F1">
        <w:rPr>
          <w:b/>
          <w:vertAlign w:val="subscript"/>
        </w:rPr>
        <w:t>IB</w:t>
      </w:r>
      <w:r>
        <w:rPr>
          <w:b/>
        </w:rPr>
        <w:t xml:space="preserve">. </w:t>
      </w:r>
      <w:r w:rsidR="004A74E5">
        <w:rPr>
          <w:b/>
        </w:rPr>
        <w:t>The optimization to the current delta T</w:t>
      </w:r>
      <w:r w:rsidR="004A74E5" w:rsidRPr="00220F9A">
        <w:rPr>
          <w:b/>
          <w:vertAlign w:val="subscript"/>
        </w:rPr>
        <w:t>IB</w:t>
      </w:r>
      <w:r w:rsidR="004A74E5">
        <w:rPr>
          <w:b/>
        </w:rPr>
        <w:t xml:space="preserve"> and R</w:t>
      </w:r>
      <w:r w:rsidR="004A74E5" w:rsidRPr="00220F9A">
        <w:rPr>
          <w:b/>
          <w:vertAlign w:val="subscript"/>
        </w:rPr>
        <w:t>IB</w:t>
      </w:r>
      <w:r w:rsidR="004A74E5">
        <w:rPr>
          <w:b/>
        </w:rPr>
        <w:t xml:space="preserve"> tables is still needed.</w:t>
      </w:r>
    </w:p>
    <w:p w:rsidR="004B514D" w:rsidRDefault="004B514D" w:rsidP="00C868F1">
      <w:r>
        <w:rPr>
          <w:rFonts w:hint="eastAsia"/>
        </w:rPr>
        <w:t>R</w:t>
      </w:r>
      <w:r>
        <w:t>egarding to the further optimization to the delta T</w:t>
      </w:r>
      <w:r w:rsidRPr="004B514D">
        <w:rPr>
          <w:vertAlign w:val="subscript"/>
        </w:rPr>
        <w:t>IB</w:t>
      </w:r>
      <w:r>
        <w:t xml:space="preserve"> and R</w:t>
      </w:r>
      <w:r w:rsidRPr="004B514D">
        <w:rPr>
          <w:vertAlign w:val="subscript"/>
        </w:rPr>
        <w:t>IB</w:t>
      </w:r>
      <w:r>
        <w:t xml:space="preserve"> tables, [2] proposes a new option to the table template.</w:t>
      </w:r>
    </w:p>
    <w:p w:rsidR="004B514D" w:rsidRPr="00E266DB" w:rsidRDefault="004B514D" w:rsidP="00A02C6F">
      <w:pPr>
        <w:pStyle w:val="21"/>
        <w:numPr>
          <w:ilvl w:val="1"/>
          <w:numId w:val="49"/>
        </w:numPr>
        <w:autoSpaceDN/>
        <w:spacing w:after="120"/>
        <w:ind w:left="1440" w:firstLineChars="0"/>
        <w:rPr>
          <w:b/>
          <w:bCs/>
          <w:i/>
          <w:iCs/>
          <w:color w:val="222A35"/>
          <w:sz w:val="21"/>
          <w:szCs w:val="21"/>
        </w:rPr>
      </w:pPr>
      <w:r w:rsidRPr="00E266DB">
        <w:rPr>
          <w:rFonts w:eastAsia="宋体"/>
          <w:i/>
          <w:iCs/>
          <w:sz w:val="21"/>
          <w:szCs w:val="21"/>
        </w:rPr>
        <w:t>Option 2a:</w:t>
      </w:r>
      <w:r w:rsidRPr="00E266DB">
        <w:rPr>
          <w:b/>
          <w:bCs/>
          <w:i/>
          <w:iCs/>
          <w:color w:val="222A35"/>
        </w:rPr>
        <w:t xml:space="preserve"> </w:t>
      </w:r>
    </w:p>
    <w:tbl>
      <w:tblPr>
        <w:tblStyle w:val="ab"/>
        <w:tblW w:w="7508" w:type="dxa"/>
        <w:jc w:val="center"/>
        <w:tblLook w:val="04A0" w:firstRow="1" w:lastRow="0" w:firstColumn="1" w:lastColumn="0" w:noHBand="0" w:noVBand="1"/>
      </w:tblPr>
      <w:tblGrid>
        <w:gridCol w:w="1818"/>
        <w:gridCol w:w="1154"/>
        <w:gridCol w:w="1090"/>
        <w:gridCol w:w="1178"/>
        <w:gridCol w:w="1134"/>
        <w:gridCol w:w="1134"/>
      </w:tblGrid>
      <w:tr w:rsidR="004B514D" w:rsidRPr="00E266DB" w:rsidTr="004B514D">
        <w:trPr>
          <w:trHeight w:val="472"/>
          <w:jc w:val="center"/>
        </w:trPr>
        <w:tc>
          <w:tcPr>
            <w:tcW w:w="1818" w:type="dxa"/>
            <w:vMerge w:val="restart"/>
            <w:tcBorders>
              <w:top w:val="single" w:sz="4" w:space="0" w:color="auto"/>
              <w:left w:val="single" w:sz="4" w:space="0" w:color="auto"/>
              <w:bottom w:val="single" w:sz="4" w:space="0" w:color="auto"/>
              <w:right w:val="single" w:sz="4" w:space="0" w:color="auto"/>
            </w:tcBorders>
            <w:hideMark/>
          </w:tcPr>
          <w:p w:rsidR="004B514D" w:rsidRPr="00E266DB" w:rsidRDefault="004B514D">
            <w:pPr>
              <w:jc w:val="center"/>
              <w:rPr>
                <w:rFonts w:asciiTheme="minorHAnsi" w:hAnsiTheme="minorHAnsi" w:cstheme="minorHAnsi"/>
                <w:sz w:val="18"/>
                <w:szCs w:val="18"/>
              </w:rPr>
            </w:pPr>
            <w:r w:rsidRPr="00E266DB">
              <w:rPr>
                <w:rFonts w:asciiTheme="minorHAnsi" w:hAnsiTheme="minorHAnsi" w:cstheme="minorHAnsi"/>
                <w:b/>
                <w:bCs/>
                <w:sz w:val="18"/>
                <w:szCs w:val="18"/>
              </w:rPr>
              <w:t>Inter-band EN-DC configuration</w:t>
            </w:r>
          </w:p>
        </w:tc>
        <w:tc>
          <w:tcPr>
            <w:tcW w:w="5690" w:type="dxa"/>
            <w:gridSpan w:val="5"/>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sz w:val="21"/>
                <w:szCs w:val="21"/>
              </w:rPr>
            </w:pPr>
            <w:r w:rsidRPr="00E266DB">
              <w:rPr>
                <w:rFonts w:asciiTheme="minorHAnsi" w:hAnsiTheme="minorHAnsi" w:cstheme="minorHAnsi"/>
                <w:b/>
                <w:bCs/>
                <w:sz w:val="18"/>
                <w:szCs w:val="18"/>
              </w:rPr>
              <w:t>E-UTRA band/NR band and ΔTIB,c(dB)</w:t>
            </w:r>
          </w:p>
        </w:tc>
      </w:tr>
      <w:tr w:rsidR="004B514D" w:rsidRPr="00E266DB" w:rsidTr="004B5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514D" w:rsidRPr="00E266DB" w:rsidRDefault="004B514D">
            <w:pPr>
              <w:rPr>
                <w:rFonts w:asciiTheme="minorHAnsi" w:hAnsiTheme="minorHAnsi" w:cstheme="minorHAnsi"/>
                <w:kern w:val="2"/>
                <w:sz w:val="18"/>
                <w:szCs w:val="18"/>
              </w:rPr>
            </w:pPr>
          </w:p>
        </w:tc>
        <w:tc>
          <w:tcPr>
            <w:tcW w:w="1154"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rPr>
            </w:pPr>
            <w:r w:rsidRPr="00E266DB">
              <w:rPr>
                <w:rFonts w:asciiTheme="minorHAnsi" w:hAnsiTheme="minorHAnsi" w:cstheme="minorHAnsi"/>
                <w:b/>
                <w:bCs/>
                <w:sz w:val="15"/>
                <w:szCs w:val="15"/>
              </w:rPr>
              <w:t>Band#1 /ΔT</w:t>
            </w:r>
            <w:r w:rsidRPr="00E266DB">
              <w:rPr>
                <w:rFonts w:asciiTheme="minorHAnsi" w:hAnsiTheme="minorHAnsi" w:cstheme="minorHAnsi"/>
                <w:b/>
                <w:bCs/>
                <w:sz w:val="15"/>
                <w:szCs w:val="15"/>
                <w:vertAlign w:val="subscript"/>
              </w:rPr>
              <w:t>IB,c</w:t>
            </w:r>
          </w:p>
        </w:tc>
        <w:tc>
          <w:tcPr>
            <w:tcW w:w="1090"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rPr>
            </w:pPr>
            <w:r w:rsidRPr="00E266DB">
              <w:rPr>
                <w:rFonts w:asciiTheme="minorHAnsi" w:hAnsiTheme="minorHAnsi" w:cstheme="minorHAnsi"/>
                <w:b/>
                <w:bCs/>
                <w:sz w:val="15"/>
                <w:szCs w:val="15"/>
              </w:rPr>
              <w:t>Band#2/ΔT</w:t>
            </w:r>
            <w:r w:rsidRPr="00E266DB">
              <w:rPr>
                <w:rFonts w:asciiTheme="minorHAnsi" w:hAnsiTheme="minorHAnsi" w:cstheme="minorHAnsi"/>
                <w:b/>
                <w:bCs/>
                <w:sz w:val="15"/>
                <w:szCs w:val="15"/>
                <w:vertAlign w:val="subscript"/>
              </w:rPr>
              <w:t>IB,c</w:t>
            </w:r>
          </w:p>
        </w:tc>
        <w:tc>
          <w:tcPr>
            <w:tcW w:w="1178"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rPr>
            </w:pPr>
            <w:r w:rsidRPr="00E266DB">
              <w:rPr>
                <w:rFonts w:asciiTheme="minorHAnsi" w:hAnsiTheme="minorHAnsi" w:cstheme="minorHAnsi"/>
                <w:b/>
                <w:bCs/>
                <w:sz w:val="15"/>
                <w:szCs w:val="15"/>
              </w:rPr>
              <w:t>Band#3 /ΔT</w:t>
            </w:r>
            <w:r w:rsidRPr="00E266DB">
              <w:rPr>
                <w:rFonts w:asciiTheme="minorHAnsi" w:hAnsiTheme="minorHAnsi" w:cstheme="minorHAnsi"/>
                <w:b/>
                <w:bCs/>
                <w:sz w:val="15"/>
                <w:szCs w:val="15"/>
                <w:vertAlign w:val="subscript"/>
              </w:rPr>
              <w:t>IB,c</w:t>
            </w:r>
          </w:p>
        </w:tc>
        <w:tc>
          <w:tcPr>
            <w:tcW w:w="1134"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rPr>
            </w:pPr>
            <w:r w:rsidRPr="00E266DB">
              <w:rPr>
                <w:rFonts w:asciiTheme="minorHAnsi" w:hAnsiTheme="minorHAnsi" w:cstheme="minorHAnsi"/>
                <w:b/>
                <w:bCs/>
                <w:sz w:val="15"/>
                <w:szCs w:val="15"/>
              </w:rPr>
              <w:t>Band#4 /ΔT</w:t>
            </w:r>
            <w:r w:rsidRPr="00E266DB">
              <w:rPr>
                <w:rFonts w:asciiTheme="minorHAnsi" w:hAnsiTheme="minorHAnsi" w:cstheme="minorHAnsi"/>
                <w:b/>
                <w:bCs/>
                <w:sz w:val="15"/>
                <w:szCs w:val="15"/>
                <w:vertAlign w:val="subscript"/>
              </w:rPr>
              <w:t>IB,c</w:t>
            </w:r>
          </w:p>
        </w:tc>
        <w:tc>
          <w:tcPr>
            <w:tcW w:w="1134"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rPr>
            </w:pPr>
            <w:r w:rsidRPr="00E266DB">
              <w:rPr>
                <w:rFonts w:asciiTheme="minorHAnsi" w:hAnsiTheme="minorHAnsi" w:cstheme="minorHAnsi"/>
                <w:b/>
                <w:bCs/>
                <w:sz w:val="15"/>
                <w:szCs w:val="15"/>
              </w:rPr>
              <w:t>Band#5 /ΔT</w:t>
            </w:r>
            <w:r w:rsidRPr="00E266DB">
              <w:rPr>
                <w:rFonts w:asciiTheme="minorHAnsi" w:hAnsiTheme="minorHAnsi" w:cstheme="minorHAnsi"/>
                <w:b/>
                <w:bCs/>
                <w:sz w:val="15"/>
                <w:szCs w:val="15"/>
                <w:vertAlign w:val="subscript"/>
              </w:rPr>
              <w:t>IB,c</w:t>
            </w:r>
          </w:p>
        </w:tc>
      </w:tr>
      <w:tr w:rsidR="004B514D" w:rsidRPr="00E266DB" w:rsidTr="004B514D">
        <w:trPr>
          <w:jc w:val="center"/>
        </w:trPr>
        <w:tc>
          <w:tcPr>
            <w:tcW w:w="1818" w:type="dxa"/>
            <w:tcBorders>
              <w:top w:val="single" w:sz="4" w:space="0" w:color="auto"/>
              <w:left w:val="single" w:sz="4" w:space="0" w:color="auto"/>
              <w:bottom w:val="single" w:sz="4" w:space="0" w:color="auto"/>
              <w:right w:val="single" w:sz="4" w:space="0" w:color="auto"/>
            </w:tcBorders>
            <w:hideMark/>
          </w:tcPr>
          <w:p w:rsidR="004B514D" w:rsidRPr="00E266DB" w:rsidRDefault="004B514D">
            <w:pPr>
              <w:rPr>
                <w:rFonts w:asciiTheme="minorHAnsi" w:hAnsiTheme="minorHAnsi" w:cstheme="minorHAnsi"/>
                <w:sz w:val="18"/>
                <w:szCs w:val="18"/>
              </w:rPr>
            </w:pPr>
            <w:r w:rsidRPr="00E266DB">
              <w:rPr>
                <w:rFonts w:asciiTheme="minorHAnsi" w:hAnsiTheme="minorHAnsi" w:cstheme="minorHAnsi"/>
                <w:sz w:val="18"/>
                <w:szCs w:val="18"/>
              </w:rPr>
              <w:t>DC_1-3-7-40_n78</w:t>
            </w:r>
          </w:p>
        </w:tc>
        <w:tc>
          <w:tcPr>
            <w:tcW w:w="1154"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090"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178"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sz w:val="18"/>
                <w:szCs w:val="18"/>
              </w:rPr>
            </w:pPr>
            <w:r w:rsidRPr="00E266DB">
              <w:rPr>
                <w:rFonts w:asciiTheme="minorHAnsi" w:hAnsiTheme="minorHAnsi" w:cstheme="minorHAnsi"/>
                <w:sz w:val="18"/>
                <w:szCs w:val="18"/>
              </w:rPr>
              <w:t>0.5</w:t>
            </w:r>
          </w:p>
        </w:tc>
        <w:tc>
          <w:tcPr>
            <w:tcW w:w="1134"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sz w:val="18"/>
                <w:szCs w:val="18"/>
              </w:rPr>
            </w:pPr>
            <w:r w:rsidRPr="00E266DB">
              <w:rPr>
                <w:rFonts w:asciiTheme="minorHAnsi" w:hAnsiTheme="minorHAnsi" w:cstheme="minorHAnsi"/>
                <w:sz w:val="18"/>
                <w:szCs w:val="18"/>
              </w:rPr>
              <w:t>0.3</w:t>
            </w:r>
          </w:p>
        </w:tc>
        <w:tc>
          <w:tcPr>
            <w:tcW w:w="1134"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sz w:val="18"/>
                <w:szCs w:val="18"/>
              </w:rPr>
            </w:pPr>
            <w:r w:rsidRPr="00E266DB">
              <w:rPr>
                <w:rFonts w:asciiTheme="minorHAnsi" w:hAnsiTheme="minorHAnsi" w:cstheme="minorHAnsi"/>
                <w:sz w:val="18"/>
                <w:szCs w:val="18"/>
              </w:rPr>
              <w:t>0.8</w:t>
            </w:r>
          </w:p>
        </w:tc>
      </w:tr>
      <w:tr w:rsidR="004B514D" w:rsidRPr="00E266DB" w:rsidTr="004B514D">
        <w:trPr>
          <w:jc w:val="center"/>
        </w:trPr>
        <w:tc>
          <w:tcPr>
            <w:tcW w:w="1818" w:type="dxa"/>
            <w:tcBorders>
              <w:top w:val="single" w:sz="4" w:space="0" w:color="auto"/>
              <w:left w:val="single" w:sz="4" w:space="0" w:color="auto"/>
              <w:bottom w:val="single" w:sz="4" w:space="0" w:color="auto"/>
              <w:right w:val="single" w:sz="4" w:space="0" w:color="auto"/>
            </w:tcBorders>
            <w:hideMark/>
          </w:tcPr>
          <w:p w:rsidR="004B514D" w:rsidRPr="00E266DB" w:rsidRDefault="004B514D">
            <w:pPr>
              <w:rPr>
                <w:rFonts w:asciiTheme="minorHAnsi" w:hAnsiTheme="minorHAnsi" w:cstheme="minorHAnsi"/>
                <w:sz w:val="18"/>
                <w:szCs w:val="18"/>
              </w:rPr>
            </w:pPr>
            <w:r w:rsidRPr="00E266DB">
              <w:rPr>
                <w:rFonts w:asciiTheme="minorHAnsi" w:hAnsiTheme="minorHAnsi" w:cstheme="minorHAnsi"/>
                <w:sz w:val="18"/>
                <w:szCs w:val="18"/>
              </w:rPr>
              <w:t>DC_1-3-8-11_n28</w:t>
            </w:r>
          </w:p>
        </w:tc>
        <w:tc>
          <w:tcPr>
            <w:tcW w:w="1154"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sz w:val="18"/>
                <w:szCs w:val="18"/>
              </w:rPr>
            </w:pPr>
            <w:r w:rsidRPr="00E266DB">
              <w:rPr>
                <w:rFonts w:asciiTheme="minorHAnsi" w:hAnsiTheme="minorHAnsi" w:cstheme="minorHAnsi"/>
                <w:sz w:val="18"/>
                <w:szCs w:val="18"/>
              </w:rPr>
              <w:t>0.3</w:t>
            </w:r>
          </w:p>
        </w:tc>
        <w:tc>
          <w:tcPr>
            <w:tcW w:w="1090"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sz w:val="18"/>
                <w:szCs w:val="18"/>
              </w:rPr>
            </w:pPr>
            <w:r w:rsidRPr="00E266DB">
              <w:rPr>
                <w:rFonts w:asciiTheme="minorHAnsi" w:hAnsiTheme="minorHAnsi" w:cstheme="minorHAnsi"/>
                <w:sz w:val="18"/>
                <w:szCs w:val="18"/>
              </w:rPr>
              <w:t>0.8</w:t>
            </w:r>
          </w:p>
        </w:tc>
        <w:tc>
          <w:tcPr>
            <w:tcW w:w="1178"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134"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sz w:val="18"/>
                <w:szCs w:val="18"/>
              </w:rPr>
            </w:pPr>
            <w:r w:rsidRPr="00E266DB">
              <w:rPr>
                <w:rFonts w:asciiTheme="minorHAnsi" w:hAnsiTheme="minorHAnsi" w:cstheme="minorHAnsi"/>
                <w:sz w:val="18"/>
                <w:szCs w:val="18"/>
              </w:rPr>
              <w:t>0.9</w:t>
            </w:r>
          </w:p>
        </w:tc>
        <w:tc>
          <w:tcPr>
            <w:tcW w:w="1134" w:type="dxa"/>
            <w:tcBorders>
              <w:top w:val="single" w:sz="4" w:space="0" w:color="auto"/>
              <w:left w:val="nil"/>
              <w:bottom w:val="single" w:sz="4" w:space="0" w:color="auto"/>
              <w:right w:val="single" w:sz="4" w:space="0" w:color="auto"/>
            </w:tcBorders>
            <w:hideMark/>
          </w:tcPr>
          <w:p w:rsidR="004B514D" w:rsidRPr="00E266DB" w:rsidRDefault="004B514D">
            <w:pPr>
              <w:jc w:val="center"/>
              <w:rPr>
                <w:rFonts w:asciiTheme="minorHAnsi" w:hAnsiTheme="minorHAnsi" w:cstheme="minorHAnsi"/>
                <w:sz w:val="18"/>
                <w:szCs w:val="18"/>
              </w:rPr>
            </w:pPr>
            <w:r w:rsidRPr="00E266DB">
              <w:rPr>
                <w:rFonts w:asciiTheme="minorHAnsi" w:hAnsiTheme="minorHAnsi" w:cstheme="minorHAnsi"/>
                <w:sz w:val="18"/>
                <w:szCs w:val="18"/>
              </w:rPr>
              <w:t>0.6</w:t>
            </w:r>
          </w:p>
        </w:tc>
      </w:tr>
    </w:tbl>
    <w:p w:rsidR="004B514D" w:rsidRDefault="004B514D" w:rsidP="004B514D">
      <w:pPr>
        <w:rPr>
          <w:rFonts w:ascii="Calibri" w:hAnsi="Calibri"/>
          <w:color w:val="222A35"/>
          <w:kern w:val="2"/>
          <w:sz w:val="21"/>
          <w:szCs w:val="21"/>
        </w:rPr>
      </w:pPr>
      <w:r>
        <w:rPr>
          <w:color w:val="222A35"/>
        </w:rPr>
        <w:t xml:space="preserve"> </w:t>
      </w:r>
      <w:r w:rsidR="00CC7D9D">
        <w:rPr>
          <w:color w:val="222A35"/>
        </w:rPr>
        <w:t>To further optimize the table template, we suggest an Option 2b as follows.</w:t>
      </w:r>
    </w:p>
    <w:p w:rsidR="00E266DB" w:rsidRPr="00E266DB" w:rsidRDefault="00E266DB" w:rsidP="00B51900">
      <w:pPr>
        <w:pStyle w:val="21"/>
        <w:numPr>
          <w:ilvl w:val="1"/>
          <w:numId w:val="50"/>
        </w:numPr>
        <w:autoSpaceDN/>
        <w:spacing w:after="120"/>
        <w:ind w:left="1440" w:firstLineChars="0"/>
        <w:rPr>
          <w:rFonts w:eastAsia="宋体"/>
          <w:b/>
          <w:bCs/>
          <w:i/>
          <w:iCs/>
          <w:color w:val="222A35"/>
          <w:sz w:val="21"/>
          <w:szCs w:val="21"/>
        </w:rPr>
      </w:pPr>
      <w:r>
        <w:rPr>
          <w:rFonts w:eastAsia="宋体"/>
          <w:i/>
          <w:iCs/>
          <w:sz w:val="21"/>
          <w:szCs w:val="21"/>
        </w:rPr>
        <w:t>Option 2b</w:t>
      </w:r>
      <w:r w:rsidRPr="00E266DB">
        <w:rPr>
          <w:rFonts w:eastAsia="宋体"/>
          <w:i/>
          <w:iCs/>
          <w:sz w:val="21"/>
          <w:szCs w:val="21"/>
        </w:rPr>
        <w:t>:</w:t>
      </w:r>
      <w:r w:rsidRPr="00E266DB">
        <w:rPr>
          <w:b/>
          <w:bCs/>
          <w:i/>
          <w:iCs/>
          <w:color w:val="222A35"/>
        </w:rPr>
        <w:t xml:space="preserve"> </w:t>
      </w:r>
    </w:p>
    <w:tbl>
      <w:tblPr>
        <w:tblStyle w:val="ab"/>
        <w:tblW w:w="7508" w:type="dxa"/>
        <w:jc w:val="center"/>
        <w:tblLook w:val="04A0" w:firstRow="1" w:lastRow="0" w:firstColumn="1" w:lastColumn="0" w:noHBand="0" w:noVBand="1"/>
      </w:tblPr>
      <w:tblGrid>
        <w:gridCol w:w="1815"/>
        <w:gridCol w:w="1153"/>
        <w:gridCol w:w="1090"/>
        <w:gridCol w:w="1177"/>
        <w:gridCol w:w="1133"/>
        <w:gridCol w:w="1140"/>
      </w:tblGrid>
      <w:tr w:rsidR="003962B5" w:rsidRPr="003962B5" w:rsidTr="007C3E9F">
        <w:trPr>
          <w:trHeight w:val="305"/>
          <w:jc w:val="center"/>
        </w:trPr>
        <w:tc>
          <w:tcPr>
            <w:tcW w:w="1815" w:type="dxa"/>
            <w:vMerge w:val="restart"/>
            <w:tcBorders>
              <w:top w:val="single" w:sz="4" w:space="0" w:color="auto"/>
              <w:left w:val="single" w:sz="4" w:space="0" w:color="auto"/>
              <w:right w:val="single" w:sz="4" w:space="0" w:color="auto"/>
            </w:tcBorders>
            <w:hideMark/>
          </w:tcPr>
          <w:p w:rsidR="003962B5" w:rsidRPr="00E266DB" w:rsidRDefault="003962B5">
            <w:pPr>
              <w:jc w:val="center"/>
              <w:rPr>
                <w:rFonts w:asciiTheme="minorHAnsi" w:hAnsiTheme="minorHAnsi" w:cstheme="minorHAnsi"/>
                <w:sz w:val="18"/>
                <w:szCs w:val="18"/>
              </w:rPr>
            </w:pPr>
            <w:r w:rsidRPr="00E266DB">
              <w:rPr>
                <w:rFonts w:asciiTheme="minorHAnsi" w:hAnsiTheme="minorHAnsi" w:cstheme="minorHAnsi"/>
                <w:b/>
                <w:bCs/>
                <w:sz w:val="18"/>
                <w:szCs w:val="18"/>
              </w:rPr>
              <w:t>Inter-band EN-DC configuration</w:t>
            </w:r>
          </w:p>
        </w:tc>
        <w:tc>
          <w:tcPr>
            <w:tcW w:w="5693" w:type="dxa"/>
            <w:gridSpan w:val="5"/>
            <w:tcBorders>
              <w:top w:val="single" w:sz="4" w:space="0" w:color="auto"/>
              <w:left w:val="nil"/>
              <w:bottom w:val="single" w:sz="4" w:space="0" w:color="auto"/>
              <w:right w:val="single" w:sz="4" w:space="0" w:color="auto"/>
            </w:tcBorders>
            <w:hideMark/>
          </w:tcPr>
          <w:p w:rsidR="003962B5" w:rsidRPr="00E266DB" w:rsidRDefault="003962B5" w:rsidP="007C3E9F">
            <w:pPr>
              <w:spacing w:after="60"/>
              <w:jc w:val="center"/>
              <w:rPr>
                <w:rFonts w:asciiTheme="minorHAnsi" w:hAnsiTheme="minorHAnsi" w:cstheme="minorHAnsi"/>
                <w:sz w:val="21"/>
                <w:szCs w:val="21"/>
              </w:rPr>
            </w:pPr>
            <w:r>
              <w:rPr>
                <w:rFonts w:asciiTheme="minorHAnsi" w:hAnsiTheme="minorHAnsi" w:cstheme="minorHAnsi"/>
                <w:b/>
                <w:bCs/>
                <w:sz w:val="18"/>
                <w:szCs w:val="18"/>
              </w:rPr>
              <w:t>ΔT</w:t>
            </w:r>
            <w:r w:rsidRPr="007C3E9F">
              <w:rPr>
                <w:rFonts w:asciiTheme="minorHAnsi" w:hAnsiTheme="minorHAnsi" w:cstheme="minorHAnsi"/>
                <w:b/>
                <w:bCs/>
                <w:sz w:val="18"/>
                <w:szCs w:val="18"/>
                <w:vertAlign w:val="subscript"/>
              </w:rPr>
              <w:t>IB,c</w:t>
            </w:r>
            <w:r>
              <w:rPr>
                <w:rFonts w:asciiTheme="minorHAnsi" w:hAnsiTheme="minorHAnsi" w:cstheme="minorHAnsi"/>
                <w:b/>
                <w:bCs/>
                <w:sz w:val="18"/>
                <w:szCs w:val="18"/>
              </w:rPr>
              <w:t xml:space="preserve"> for </w:t>
            </w:r>
            <w:r w:rsidRPr="00E266DB">
              <w:rPr>
                <w:rFonts w:asciiTheme="minorHAnsi" w:hAnsiTheme="minorHAnsi" w:cstheme="minorHAnsi"/>
                <w:b/>
                <w:bCs/>
                <w:sz w:val="18"/>
                <w:szCs w:val="18"/>
              </w:rPr>
              <w:t>E-UTRA band</w:t>
            </w:r>
            <w:r>
              <w:rPr>
                <w:rFonts w:asciiTheme="minorHAnsi" w:hAnsiTheme="minorHAnsi" w:cstheme="minorHAnsi"/>
                <w:b/>
                <w:bCs/>
                <w:sz w:val="18"/>
                <w:szCs w:val="18"/>
              </w:rPr>
              <w:t xml:space="preserve"> </w:t>
            </w:r>
            <w:r w:rsidRPr="00E266DB">
              <w:rPr>
                <w:rFonts w:asciiTheme="minorHAnsi" w:hAnsiTheme="minorHAnsi" w:cstheme="minorHAnsi"/>
                <w:b/>
                <w:bCs/>
                <w:sz w:val="18"/>
                <w:szCs w:val="18"/>
              </w:rPr>
              <w:t>/</w:t>
            </w:r>
            <w:r>
              <w:rPr>
                <w:rFonts w:asciiTheme="minorHAnsi" w:hAnsiTheme="minorHAnsi" w:cstheme="minorHAnsi"/>
                <w:b/>
                <w:bCs/>
                <w:sz w:val="18"/>
                <w:szCs w:val="18"/>
              </w:rPr>
              <w:t xml:space="preserve"> </w:t>
            </w:r>
            <w:r w:rsidRPr="00E266DB">
              <w:rPr>
                <w:rFonts w:asciiTheme="minorHAnsi" w:hAnsiTheme="minorHAnsi" w:cstheme="minorHAnsi"/>
                <w:b/>
                <w:bCs/>
                <w:sz w:val="18"/>
                <w:szCs w:val="18"/>
              </w:rPr>
              <w:t>NR band</w:t>
            </w:r>
            <w:r>
              <w:rPr>
                <w:rFonts w:asciiTheme="minorHAnsi" w:hAnsiTheme="minorHAnsi" w:cstheme="minorHAnsi"/>
                <w:b/>
                <w:bCs/>
                <w:sz w:val="18"/>
                <w:szCs w:val="18"/>
              </w:rPr>
              <w:t xml:space="preserve"> (dB)</w:t>
            </w:r>
          </w:p>
        </w:tc>
      </w:tr>
      <w:tr w:rsidR="003962B5" w:rsidRPr="003962B5" w:rsidTr="003962B5">
        <w:trPr>
          <w:trHeight w:val="170"/>
          <w:jc w:val="center"/>
        </w:trPr>
        <w:tc>
          <w:tcPr>
            <w:tcW w:w="1815" w:type="dxa"/>
            <w:vMerge/>
            <w:tcBorders>
              <w:left w:val="single" w:sz="4" w:space="0" w:color="auto"/>
              <w:right w:val="single" w:sz="4" w:space="0" w:color="auto"/>
            </w:tcBorders>
          </w:tcPr>
          <w:p w:rsidR="003962B5" w:rsidRPr="00E266DB" w:rsidRDefault="003962B5">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rsidR="003962B5" w:rsidRDefault="007C3E9F" w:rsidP="007C3E9F">
            <w:pPr>
              <w:spacing w:after="60"/>
              <w:jc w:val="center"/>
              <w:rPr>
                <w:rFonts w:asciiTheme="minorHAnsi" w:hAnsiTheme="minorHAnsi" w:cstheme="minorHAnsi"/>
                <w:b/>
                <w:bCs/>
                <w:sz w:val="18"/>
                <w:szCs w:val="18"/>
              </w:rPr>
            </w:pPr>
            <w:r>
              <w:rPr>
                <w:rFonts w:asciiTheme="minorHAnsi" w:hAnsiTheme="minorHAnsi" w:cstheme="minorHAnsi" w:hint="eastAsia"/>
                <w:b/>
                <w:bCs/>
                <w:sz w:val="18"/>
                <w:szCs w:val="18"/>
              </w:rPr>
              <w:t>C</w:t>
            </w:r>
            <w:r>
              <w:rPr>
                <w:rFonts w:asciiTheme="minorHAnsi" w:hAnsiTheme="minorHAnsi" w:cstheme="minorHAnsi"/>
                <w:b/>
                <w:bCs/>
                <w:sz w:val="18"/>
                <w:szCs w:val="18"/>
              </w:rPr>
              <w:t>omponent band in order of bands in configuration</w:t>
            </w:r>
          </w:p>
        </w:tc>
      </w:tr>
      <w:tr w:rsidR="00E266DB" w:rsidRPr="00E266DB" w:rsidTr="003962B5">
        <w:trPr>
          <w:jc w:val="center"/>
        </w:trPr>
        <w:tc>
          <w:tcPr>
            <w:tcW w:w="1815" w:type="dxa"/>
            <w:tcBorders>
              <w:top w:val="single" w:sz="4" w:space="0" w:color="auto"/>
              <w:left w:val="single" w:sz="4" w:space="0" w:color="auto"/>
              <w:bottom w:val="single" w:sz="4" w:space="0" w:color="auto"/>
              <w:right w:val="single" w:sz="4" w:space="0" w:color="auto"/>
            </w:tcBorders>
            <w:hideMark/>
          </w:tcPr>
          <w:p w:rsidR="00E266DB" w:rsidRPr="00E266DB" w:rsidRDefault="00E266DB">
            <w:pPr>
              <w:rPr>
                <w:rFonts w:asciiTheme="minorHAnsi" w:hAnsiTheme="minorHAnsi" w:cstheme="minorHAnsi"/>
                <w:sz w:val="18"/>
                <w:szCs w:val="18"/>
              </w:rPr>
            </w:pPr>
            <w:r w:rsidRPr="00E266DB">
              <w:rPr>
                <w:rFonts w:asciiTheme="minorHAnsi" w:hAnsiTheme="minorHAnsi" w:cstheme="minorHAnsi"/>
                <w:sz w:val="18"/>
                <w:szCs w:val="18"/>
              </w:rPr>
              <w:t>DC_1-3-7-40_n78</w:t>
            </w:r>
          </w:p>
        </w:tc>
        <w:tc>
          <w:tcPr>
            <w:tcW w:w="1153" w:type="dxa"/>
            <w:tcBorders>
              <w:top w:val="single" w:sz="4" w:space="0" w:color="auto"/>
              <w:left w:val="nil"/>
              <w:bottom w:val="single" w:sz="4" w:space="0" w:color="auto"/>
              <w:right w:val="single" w:sz="4" w:space="0" w:color="auto"/>
            </w:tcBorders>
            <w:hideMark/>
          </w:tcPr>
          <w:p w:rsidR="00E266DB" w:rsidRPr="00E266DB" w:rsidRDefault="00E266DB">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090" w:type="dxa"/>
            <w:tcBorders>
              <w:top w:val="single" w:sz="4" w:space="0" w:color="auto"/>
              <w:left w:val="nil"/>
              <w:bottom w:val="single" w:sz="4" w:space="0" w:color="auto"/>
              <w:right w:val="single" w:sz="4" w:space="0" w:color="auto"/>
            </w:tcBorders>
            <w:hideMark/>
          </w:tcPr>
          <w:p w:rsidR="00E266DB" w:rsidRPr="00E266DB" w:rsidRDefault="00E266DB">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177" w:type="dxa"/>
            <w:tcBorders>
              <w:top w:val="single" w:sz="4" w:space="0" w:color="auto"/>
              <w:left w:val="nil"/>
              <w:bottom w:val="single" w:sz="4" w:space="0" w:color="auto"/>
              <w:right w:val="single" w:sz="4" w:space="0" w:color="auto"/>
            </w:tcBorders>
            <w:hideMark/>
          </w:tcPr>
          <w:p w:rsidR="00E266DB" w:rsidRPr="00E266DB" w:rsidRDefault="00E266DB">
            <w:pPr>
              <w:jc w:val="center"/>
              <w:rPr>
                <w:rFonts w:asciiTheme="minorHAnsi" w:hAnsiTheme="minorHAnsi" w:cstheme="minorHAnsi"/>
                <w:sz w:val="18"/>
                <w:szCs w:val="18"/>
              </w:rPr>
            </w:pPr>
            <w:r w:rsidRPr="00E266DB">
              <w:rPr>
                <w:rFonts w:asciiTheme="minorHAnsi" w:hAnsiTheme="minorHAnsi" w:cstheme="minorHAnsi"/>
                <w:sz w:val="18"/>
                <w:szCs w:val="18"/>
              </w:rPr>
              <w:t>0.5</w:t>
            </w:r>
          </w:p>
        </w:tc>
        <w:tc>
          <w:tcPr>
            <w:tcW w:w="1133" w:type="dxa"/>
            <w:tcBorders>
              <w:top w:val="single" w:sz="4" w:space="0" w:color="auto"/>
              <w:left w:val="nil"/>
              <w:bottom w:val="single" w:sz="4" w:space="0" w:color="auto"/>
              <w:right w:val="single" w:sz="4" w:space="0" w:color="auto"/>
            </w:tcBorders>
            <w:hideMark/>
          </w:tcPr>
          <w:p w:rsidR="00E266DB" w:rsidRPr="00E266DB" w:rsidRDefault="00E266DB">
            <w:pPr>
              <w:jc w:val="center"/>
              <w:rPr>
                <w:rFonts w:asciiTheme="minorHAnsi" w:hAnsiTheme="minorHAnsi" w:cstheme="minorHAnsi"/>
                <w:sz w:val="18"/>
                <w:szCs w:val="18"/>
              </w:rPr>
            </w:pPr>
            <w:r w:rsidRPr="00E266DB">
              <w:rPr>
                <w:rFonts w:asciiTheme="minorHAnsi" w:hAnsiTheme="minorHAnsi" w:cstheme="minorHAnsi"/>
                <w:sz w:val="18"/>
                <w:szCs w:val="18"/>
              </w:rPr>
              <w:t>0.3</w:t>
            </w:r>
          </w:p>
        </w:tc>
        <w:tc>
          <w:tcPr>
            <w:tcW w:w="1140" w:type="dxa"/>
            <w:tcBorders>
              <w:top w:val="single" w:sz="4" w:space="0" w:color="auto"/>
              <w:left w:val="nil"/>
              <w:bottom w:val="single" w:sz="4" w:space="0" w:color="auto"/>
              <w:right w:val="single" w:sz="4" w:space="0" w:color="auto"/>
            </w:tcBorders>
            <w:hideMark/>
          </w:tcPr>
          <w:p w:rsidR="00E266DB" w:rsidRPr="00E266DB" w:rsidRDefault="00E266DB">
            <w:pPr>
              <w:jc w:val="center"/>
              <w:rPr>
                <w:rFonts w:asciiTheme="minorHAnsi" w:hAnsiTheme="minorHAnsi" w:cstheme="minorHAnsi"/>
                <w:sz w:val="18"/>
                <w:szCs w:val="18"/>
              </w:rPr>
            </w:pPr>
            <w:r w:rsidRPr="00E266DB">
              <w:rPr>
                <w:rFonts w:asciiTheme="minorHAnsi" w:hAnsiTheme="minorHAnsi" w:cstheme="minorHAnsi"/>
                <w:sz w:val="18"/>
                <w:szCs w:val="18"/>
              </w:rPr>
              <w:t>0.8</w:t>
            </w:r>
          </w:p>
        </w:tc>
      </w:tr>
      <w:tr w:rsidR="00E266DB" w:rsidRPr="00E266DB" w:rsidTr="003962B5">
        <w:trPr>
          <w:jc w:val="center"/>
        </w:trPr>
        <w:tc>
          <w:tcPr>
            <w:tcW w:w="1815" w:type="dxa"/>
            <w:tcBorders>
              <w:top w:val="single" w:sz="4" w:space="0" w:color="auto"/>
              <w:left w:val="single" w:sz="4" w:space="0" w:color="auto"/>
              <w:bottom w:val="single" w:sz="4" w:space="0" w:color="auto"/>
              <w:right w:val="single" w:sz="4" w:space="0" w:color="auto"/>
            </w:tcBorders>
            <w:hideMark/>
          </w:tcPr>
          <w:p w:rsidR="00E266DB" w:rsidRPr="00E266DB" w:rsidRDefault="00E266DB">
            <w:pPr>
              <w:rPr>
                <w:rFonts w:asciiTheme="minorHAnsi" w:hAnsiTheme="minorHAnsi" w:cstheme="minorHAnsi"/>
                <w:sz w:val="18"/>
                <w:szCs w:val="18"/>
              </w:rPr>
            </w:pPr>
            <w:r w:rsidRPr="00E266DB">
              <w:rPr>
                <w:rFonts w:asciiTheme="minorHAnsi" w:hAnsiTheme="minorHAnsi" w:cstheme="minorHAnsi"/>
                <w:sz w:val="18"/>
                <w:szCs w:val="18"/>
              </w:rPr>
              <w:t>DC_1-3-8-11_n28</w:t>
            </w:r>
          </w:p>
        </w:tc>
        <w:tc>
          <w:tcPr>
            <w:tcW w:w="1153" w:type="dxa"/>
            <w:tcBorders>
              <w:top w:val="single" w:sz="4" w:space="0" w:color="auto"/>
              <w:left w:val="nil"/>
              <w:bottom w:val="single" w:sz="4" w:space="0" w:color="auto"/>
              <w:right w:val="single" w:sz="4" w:space="0" w:color="auto"/>
            </w:tcBorders>
            <w:hideMark/>
          </w:tcPr>
          <w:p w:rsidR="00E266DB" w:rsidRPr="00E266DB" w:rsidRDefault="00E266DB">
            <w:pPr>
              <w:jc w:val="center"/>
              <w:rPr>
                <w:rFonts w:asciiTheme="minorHAnsi" w:hAnsiTheme="minorHAnsi" w:cstheme="minorHAnsi"/>
                <w:sz w:val="18"/>
                <w:szCs w:val="18"/>
              </w:rPr>
            </w:pPr>
            <w:r w:rsidRPr="00E266DB">
              <w:rPr>
                <w:rFonts w:asciiTheme="minorHAnsi" w:hAnsiTheme="minorHAnsi" w:cstheme="minorHAnsi"/>
                <w:sz w:val="18"/>
                <w:szCs w:val="18"/>
              </w:rPr>
              <w:t>0.3</w:t>
            </w:r>
          </w:p>
        </w:tc>
        <w:tc>
          <w:tcPr>
            <w:tcW w:w="1090" w:type="dxa"/>
            <w:tcBorders>
              <w:top w:val="single" w:sz="4" w:space="0" w:color="auto"/>
              <w:left w:val="nil"/>
              <w:bottom w:val="single" w:sz="4" w:space="0" w:color="auto"/>
              <w:right w:val="single" w:sz="4" w:space="0" w:color="auto"/>
            </w:tcBorders>
            <w:hideMark/>
          </w:tcPr>
          <w:p w:rsidR="00E266DB" w:rsidRPr="00E266DB" w:rsidRDefault="00E266DB">
            <w:pPr>
              <w:jc w:val="center"/>
              <w:rPr>
                <w:rFonts w:asciiTheme="minorHAnsi" w:hAnsiTheme="minorHAnsi" w:cstheme="minorHAnsi"/>
                <w:sz w:val="18"/>
                <w:szCs w:val="18"/>
              </w:rPr>
            </w:pPr>
            <w:r w:rsidRPr="00E266DB">
              <w:rPr>
                <w:rFonts w:asciiTheme="minorHAnsi" w:hAnsiTheme="minorHAnsi" w:cstheme="minorHAnsi"/>
                <w:sz w:val="18"/>
                <w:szCs w:val="18"/>
              </w:rPr>
              <w:t>0.8</w:t>
            </w:r>
          </w:p>
        </w:tc>
        <w:tc>
          <w:tcPr>
            <w:tcW w:w="1177" w:type="dxa"/>
            <w:tcBorders>
              <w:top w:val="single" w:sz="4" w:space="0" w:color="auto"/>
              <w:left w:val="nil"/>
              <w:bottom w:val="single" w:sz="4" w:space="0" w:color="auto"/>
              <w:right w:val="single" w:sz="4" w:space="0" w:color="auto"/>
            </w:tcBorders>
            <w:hideMark/>
          </w:tcPr>
          <w:p w:rsidR="00E266DB" w:rsidRPr="00E266DB" w:rsidRDefault="00E266DB">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133" w:type="dxa"/>
            <w:tcBorders>
              <w:top w:val="single" w:sz="4" w:space="0" w:color="auto"/>
              <w:left w:val="nil"/>
              <w:bottom w:val="single" w:sz="4" w:space="0" w:color="auto"/>
              <w:right w:val="single" w:sz="4" w:space="0" w:color="auto"/>
            </w:tcBorders>
            <w:hideMark/>
          </w:tcPr>
          <w:p w:rsidR="00E266DB" w:rsidRPr="00E266DB" w:rsidRDefault="00E266DB">
            <w:pPr>
              <w:jc w:val="center"/>
              <w:rPr>
                <w:rFonts w:asciiTheme="minorHAnsi" w:hAnsiTheme="minorHAnsi" w:cstheme="minorHAnsi"/>
                <w:sz w:val="18"/>
                <w:szCs w:val="18"/>
              </w:rPr>
            </w:pPr>
            <w:r w:rsidRPr="00E266DB">
              <w:rPr>
                <w:rFonts w:asciiTheme="minorHAnsi" w:hAnsiTheme="minorHAnsi" w:cstheme="minorHAnsi"/>
                <w:sz w:val="18"/>
                <w:szCs w:val="18"/>
              </w:rPr>
              <w:t>0.9</w:t>
            </w:r>
          </w:p>
        </w:tc>
        <w:tc>
          <w:tcPr>
            <w:tcW w:w="1140" w:type="dxa"/>
            <w:tcBorders>
              <w:top w:val="single" w:sz="4" w:space="0" w:color="auto"/>
              <w:left w:val="nil"/>
              <w:bottom w:val="single" w:sz="4" w:space="0" w:color="auto"/>
              <w:right w:val="single" w:sz="4" w:space="0" w:color="auto"/>
            </w:tcBorders>
            <w:hideMark/>
          </w:tcPr>
          <w:p w:rsidR="00E266DB" w:rsidRPr="00E266DB" w:rsidRDefault="00E266DB">
            <w:pPr>
              <w:jc w:val="center"/>
              <w:rPr>
                <w:rFonts w:asciiTheme="minorHAnsi" w:hAnsiTheme="minorHAnsi" w:cstheme="minorHAnsi"/>
                <w:sz w:val="18"/>
                <w:szCs w:val="18"/>
              </w:rPr>
            </w:pPr>
            <w:r w:rsidRPr="00E266DB">
              <w:rPr>
                <w:rFonts w:asciiTheme="minorHAnsi" w:hAnsiTheme="minorHAnsi" w:cstheme="minorHAnsi"/>
                <w:sz w:val="18"/>
                <w:szCs w:val="18"/>
              </w:rPr>
              <w:t>0.6</w:t>
            </w:r>
          </w:p>
        </w:tc>
      </w:tr>
      <w:tr w:rsidR="00E266DB" w:rsidRPr="00E266DB" w:rsidTr="000C638D">
        <w:trPr>
          <w:jc w:val="center"/>
        </w:trPr>
        <w:tc>
          <w:tcPr>
            <w:tcW w:w="7508" w:type="dxa"/>
            <w:gridSpan w:val="6"/>
            <w:tcBorders>
              <w:top w:val="single" w:sz="4" w:space="0" w:color="auto"/>
              <w:left w:val="single" w:sz="4" w:space="0" w:color="auto"/>
              <w:bottom w:val="single" w:sz="4" w:space="0" w:color="auto"/>
              <w:right w:val="single" w:sz="4" w:space="0" w:color="auto"/>
            </w:tcBorders>
          </w:tcPr>
          <w:p w:rsidR="00E266DB" w:rsidRPr="00E266DB" w:rsidRDefault="00E266DB" w:rsidP="00E266DB">
            <w:pPr>
              <w:rPr>
                <w:rFonts w:asciiTheme="minorHAnsi" w:hAnsiTheme="minorHAnsi" w:cstheme="minorHAnsi"/>
                <w:sz w:val="18"/>
                <w:szCs w:val="18"/>
              </w:rPr>
            </w:pPr>
            <w:r w:rsidRPr="00E266DB">
              <w:rPr>
                <w:rFonts w:asciiTheme="minorHAnsi" w:hAnsiTheme="minorHAnsi" w:cstheme="minorHAnsi"/>
                <w:sz w:val="18"/>
                <w:szCs w:val="18"/>
              </w:rPr>
              <w:t xml:space="preserve">Note 1:  </w:t>
            </w:r>
            <w:r w:rsidR="007C3E9F">
              <w:rPr>
                <w:rFonts w:asciiTheme="minorHAnsi" w:hAnsiTheme="minorHAnsi" w:cstheme="minorHAnsi"/>
                <w:sz w:val="18"/>
                <w:szCs w:val="18"/>
              </w:rPr>
              <w:t>“-” denote</w:t>
            </w:r>
            <w:r w:rsidR="007C3E9F" w:rsidRPr="007C3E9F">
              <w:rPr>
                <w:rFonts w:asciiTheme="minorHAnsi" w:hAnsiTheme="minorHAnsi" w:cstheme="minorHAnsi"/>
                <w:sz w:val="18"/>
                <w:szCs w:val="18"/>
              </w:rPr>
              <w:t xml:space="preserve">s </w:t>
            </w:r>
            <w:r w:rsidR="007C3E9F" w:rsidRPr="007C3E9F">
              <w:rPr>
                <w:rFonts w:asciiTheme="minorHAnsi" w:hAnsiTheme="minorHAnsi" w:cstheme="minorHAnsi"/>
                <w:bCs/>
                <w:sz w:val="18"/>
                <w:szCs w:val="18"/>
              </w:rPr>
              <w:t>ΔT</w:t>
            </w:r>
            <w:r w:rsidR="007C3E9F" w:rsidRPr="007C3E9F">
              <w:rPr>
                <w:rFonts w:asciiTheme="minorHAnsi" w:hAnsiTheme="minorHAnsi" w:cstheme="minorHAnsi"/>
                <w:bCs/>
                <w:sz w:val="18"/>
                <w:szCs w:val="18"/>
                <w:vertAlign w:val="subscript"/>
              </w:rPr>
              <w:t>IB,c</w:t>
            </w:r>
            <w:r w:rsidR="007C3E9F" w:rsidRPr="007C3E9F">
              <w:rPr>
                <w:rFonts w:asciiTheme="minorHAnsi" w:hAnsiTheme="minorHAnsi" w:cstheme="minorHAnsi"/>
                <w:sz w:val="18"/>
                <w:szCs w:val="18"/>
              </w:rPr>
              <w:t xml:space="preserve"> =</w:t>
            </w:r>
            <w:r w:rsidR="007C3E9F">
              <w:rPr>
                <w:rFonts w:asciiTheme="minorHAnsi" w:hAnsiTheme="minorHAnsi" w:cstheme="minorHAnsi"/>
                <w:sz w:val="18"/>
                <w:szCs w:val="18"/>
              </w:rPr>
              <w:t xml:space="preserve"> </w:t>
            </w:r>
            <w:r w:rsidR="007C3E9F" w:rsidRPr="007C3E9F">
              <w:rPr>
                <w:rFonts w:asciiTheme="minorHAnsi" w:hAnsiTheme="minorHAnsi" w:cstheme="minorHAnsi"/>
                <w:sz w:val="18"/>
                <w:szCs w:val="18"/>
              </w:rPr>
              <w:t>0</w:t>
            </w:r>
            <w:r w:rsidR="007C3E9F">
              <w:rPr>
                <w:rFonts w:asciiTheme="minorHAnsi" w:hAnsiTheme="minorHAnsi" w:cstheme="minorHAnsi"/>
                <w:sz w:val="18"/>
                <w:szCs w:val="18"/>
              </w:rPr>
              <w:t>.</w:t>
            </w:r>
          </w:p>
        </w:tc>
      </w:tr>
    </w:tbl>
    <w:p w:rsidR="004B514D" w:rsidRDefault="00E266DB" w:rsidP="00C868F1">
      <w:pPr>
        <w:rPr>
          <w:b/>
        </w:rPr>
      </w:pPr>
      <w:r>
        <w:rPr>
          <w:color w:val="222A35"/>
        </w:rPr>
        <w:t xml:space="preserve"> </w:t>
      </w:r>
      <w:r w:rsidR="004B514D">
        <w:rPr>
          <w:b/>
        </w:rPr>
        <w:t>Proposal 1:</w:t>
      </w:r>
      <w:r w:rsidR="004B514D">
        <w:rPr>
          <w:b/>
        </w:rPr>
        <w:tab/>
        <w:t xml:space="preserve"> </w:t>
      </w:r>
      <w:r w:rsidR="00F15719">
        <w:rPr>
          <w:b/>
        </w:rPr>
        <w:t xml:space="preserve">A mix </w:t>
      </w:r>
      <w:r w:rsidR="00220F9A">
        <w:rPr>
          <w:b/>
        </w:rPr>
        <w:t>of</w:t>
      </w:r>
      <w:r w:rsidR="00F15719">
        <w:rPr>
          <w:b/>
        </w:rPr>
        <w:t xml:space="preserve"> rule</w:t>
      </w:r>
      <w:r w:rsidR="00220F9A">
        <w:rPr>
          <w:b/>
        </w:rPr>
        <w:t>-</w:t>
      </w:r>
      <w:r w:rsidR="00F15719">
        <w:rPr>
          <w:b/>
        </w:rPr>
        <w:t>base</w:t>
      </w:r>
      <w:r w:rsidR="00E36B2B">
        <w:rPr>
          <w:b/>
        </w:rPr>
        <w:t>d</w:t>
      </w:r>
      <w:r w:rsidR="00F15719">
        <w:rPr>
          <w:b/>
        </w:rPr>
        <w:t xml:space="preserve"> and table</w:t>
      </w:r>
      <w:r w:rsidR="00220F9A">
        <w:rPr>
          <w:b/>
        </w:rPr>
        <w:t>-</w:t>
      </w:r>
      <w:r w:rsidR="00F15719">
        <w:rPr>
          <w:b/>
        </w:rPr>
        <w:t>base</w:t>
      </w:r>
      <w:r w:rsidR="00E36B2B">
        <w:rPr>
          <w:b/>
        </w:rPr>
        <w:t>d</w:t>
      </w:r>
      <w:r w:rsidR="00220F9A">
        <w:rPr>
          <w:b/>
        </w:rPr>
        <w:t xml:space="preserve"> </w:t>
      </w:r>
      <w:r w:rsidR="00E36B2B">
        <w:rPr>
          <w:b/>
        </w:rPr>
        <w:t xml:space="preserve">approach </w:t>
      </w:r>
      <w:r w:rsidR="00220F9A">
        <w:rPr>
          <w:b/>
        </w:rPr>
        <w:t>for delta T</w:t>
      </w:r>
      <w:r w:rsidR="00220F9A" w:rsidRPr="00220F9A">
        <w:rPr>
          <w:b/>
          <w:vertAlign w:val="subscript"/>
        </w:rPr>
        <w:t>IB</w:t>
      </w:r>
      <w:r w:rsidR="00220F9A">
        <w:rPr>
          <w:b/>
        </w:rPr>
        <w:t xml:space="preserve"> and R</w:t>
      </w:r>
      <w:r w:rsidR="00220F9A" w:rsidRPr="00220F9A">
        <w:rPr>
          <w:b/>
          <w:vertAlign w:val="subscript"/>
        </w:rPr>
        <w:t>IB</w:t>
      </w:r>
      <w:r w:rsidR="00220F9A">
        <w:rPr>
          <w:b/>
        </w:rPr>
        <w:t xml:space="preserve"> </w:t>
      </w:r>
      <w:r w:rsidR="00752446">
        <w:rPr>
          <w:b/>
        </w:rPr>
        <w:t xml:space="preserve">optimization </w:t>
      </w:r>
      <w:r w:rsidR="00220F9A">
        <w:rPr>
          <w:b/>
        </w:rPr>
        <w:t xml:space="preserve">is suggested. Option 2b is </w:t>
      </w:r>
      <w:r w:rsidR="00E36B2B">
        <w:rPr>
          <w:b/>
        </w:rPr>
        <w:t>considered</w:t>
      </w:r>
      <w:r w:rsidR="00220F9A">
        <w:rPr>
          <w:b/>
        </w:rPr>
        <w:t xml:space="preserve"> to be the optimized table template.</w:t>
      </w:r>
    </w:p>
    <w:p w:rsidR="00C9487B" w:rsidRDefault="00296E73" w:rsidP="00896C6D">
      <w:r>
        <w:t xml:space="preserve">In addition, considering that the rule-based </w:t>
      </w:r>
      <w:r w:rsidR="000B0F68">
        <w:t>configuration, once the rule is determined, the delta T</w:t>
      </w:r>
      <w:r w:rsidR="000B0F68" w:rsidRPr="000B0F68">
        <w:rPr>
          <w:vertAlign w:val="subscript"/>
        </w:rPr>
        <w:t>IB</w:t>
      </w:r>
      <w:r w:rsidR="000B0F68">
        <w:t xml:space="preserve"> and R</w:t>
      </w:r>
      <w:r w:rsidR="000B0F68" w:rsidRPr="000B0F68">
        <w:rPr>
          <w:vertAlign w:val="subscript"/>
        </w:rPr>
        <w:t>IB</w:t>
      </w:r>
      <w:r w:rsidR="000B0F68">
        <w:t xml:space="preserve"> will be determined accordingly. Therefore, in general, if the rules are determined, it is recommended to keep the rules stable, otherwise it will not be beneficial to the stability of specifications.</w:t>
      </w:r>
    </w:p>
    <w:p w:rsidR="000B0F68" w:rsidRDefault="001808B6" w:rsidP="000B0F68">
      <w:pPr>
        <w:rPr>
          <w:b/>
        </w:rPr>
      </w:pPr>
      <w:r>
        <w:rPr>
          <w:b/>
        </w:rPr>
        <w:t>Proposal 2</w:t>
      </w:r>
      <w:r w:rsidR="000B0F68">
        <w:rPr>
          <w:b/>
        </w:rPr>
        <w:t>:</w:t>
      </w:r>
      <w:r w:rsidR="000B0F68">
        <w:rPr>
          <w:b/>
        </w:rPr>
        <w:tab/>
        <w:t xml:space="preserve"> If the rule-based approach is selected for delta T</w:t>
      </w:r>
      <w:r w:rsidR="000B0F68" w:rsidRPr="00220F9A">
        <w:rPr>
          <w:b/>
          <w:vertAlign w:val="subscript"/>
        </w:rPr>
        <w:t>IB</w:t>
      </w:r>
      <w:r w:rsidR="000B0F68">
        <w:rPr>
          <w:b/>
        </w:rPr>
        <w:t xml:space="preserve"> and R</w:t>
      </w:r>
      <w:r w:rsidR="000B0F68" w:rsidRPr="00220F9A">
        <w:rPr>
          <w:b/>
          <w:vertAlign w:val="subscript"/>
        </w:rPr>
        <w:t>IB</w:t>
      </w:r>
      <w:r w:rsidR="000B0F68">
        <w:rPr>
          <w:b/>
        </w:rPr>
        <w:t>, a stable rule set should be kept.</w:t>
      </w:r>
    </w:p>
    <w:p w:rsidR="000B0F68" w:rsidRPr="000B0F68" w:rsidRDefault="000B0F68" w:rsidP="00896C6D">
      <w:r>
        <w:rPr>
          <w:rFonts w:hint="eastAsia"/>
        </w:rPr>
        <w:t>O</w:t>
      </w:r>
      <w:r>
        <w:t xml:space="preserve">ne more issue to mention is about the timeline of </w:t>
      </w:r>
      <w:r w:rsidR="001808B6">
        <w:t>the new approach to delta T</w:t>
      </w:r>
      <w:r w:rsidR="001808B6" w:rsidRPr="001808B6">
        <w:rPr>
          <w:vertAlign w:val="subscript"/>
        </w:rPr>
        <w:t>IB</w:t>
      </w:r>
      <w:r w:rsidR="001808B6">
        <w:t xml:space="preserve"> and R</w:t>
      </w:r>
      <w:r w:rsidR="001808B6" w:rsidRPr="001808B6">
        <w:rPr>
          <w:vertAlign w:val="subscript"/>
        </w:rPr>
        <w:t>IB</w:t>
      </w:r>
      <w:r w:rsidR="001808B6">
        <w:t xml:space="preserve">. Considering that only two meeting cycles left for </w:t>
      </w:r>
      <w:r w:rsidR="001808B6">
        <w:rPr>
          <w:rFonts w:hint="eastAsia"/>
        </w:rPr>
        <w:t>Re</w:t>
      </w:r>
      <w:r w:rsidR="001808B6">
        <w:t xml:space="preserve">l-17, it is difficult to include the possible optimization in Rel-17. We suggest to include the optimization at the last meeting of </w:t>
      </w:r>
      <w:r w:rsidR="001808B6">
        <w:rPr>
          <w:rFonts w:hint="eastAsia"/>
        </w:rPr>
        <w:t>Rel</w:t>
      </w:r>
      <w:r w:rsidR="001808B6">
        <w:t>-17 and implement the optimization once Rel-18 is setup.</w:t>
      </w:r>
    </w:p>
    <w:p w:rsidR="006374BF" w:rsidRDefault="006374BF" w:rsidP="006374BF">
      <w:pPr>
        <w:spacing w:before="0" w:beforeAutospacing="0" w:after="0"/>
      </w:pPr>
      <w:r>
        <w:br w:type="page"/>
      </w:r>
    </w:p>
    <w:p w:rsidR="00D10CDF" w:rsidRDefault="00D10CDF" w:rsidP="00D10CDF">
      <w:pPr>
        <w:rPr>
          <w:b/>
        </w:rPr>
      </w:pPr>
      <w:r>
        <w:rPr>
          <w:b/>
        </w:rPr>
        <w:lastRenderedPageBreak/>
        <w:t>Proposal 3:</w:t>
      </w:r>
      <w:r>
        <w:rPr>
          <w:b/>
        </w:rPr>
        <w:tab/>
        <w:t xml:space="preserve"> It is suggested to include the optimization of delta T</w:t>
      </w:r>
      <w:r w:rsidRPr="00220F9A">
        <w:rPr>
          <w:b/>
          <w:vertAlign w:val="subscript"/>
        </w:rPr>
        <w:t>IB</w:t>
      </w:r>
      <w:r>
        <w:rPr>
          <w:b/>
        </w:rPr>
        <w:t xml:space="preserve"> and R</w:t>
      </w:r>
      <w:r w:rsidRPr="00220F9A">
        <w:rPr>
          <w:b/>
          <w:vertAlign w:val="subscript"/>
        </w:rPr>
        <w:t>IB</w:t>
      </w:r>
      <w:r>
        <w:rPr>
          <w:b/>
        </w:rPr>
        <w:t xml:space="preserve"> at the last meeting of Rel-17 and implement in Rel-18 if the optimization is agreed.</w:t>
      </w:r>
    </w:p>
    <w:p w:rsidR="0082663C" w:rsidRDefault="0082663C" w:rsidP="0082663C">
      <w:pPr>
        <w:pStyle w:val="1"/>
      </w:pPr>
      <w:r>
        <w:t>3</w:t>
      </w:r>
      <w:r>
        <w:tab/>
        <w:t>Conclusions</w:t>
      </w:r>
    </w:p>
    <w:p w:rsidR="0029574A" w:rsidRDefault="000F57D2" w:rsidP="00BB6C5A">
      <w:r>
        <w:t>In this</w:t>
      </w:r>
      <w:r w:rsidR="0082663C">
        <w:t xml:space="preserve"> paper we </w:t>
      </w:r>
      <w:r w:rsidR="00DF08D4">
        <w:t xml:space="preserve">discussed the issues </w:t>
      </w:r>
      <w:r w:rsidR="002011EF">
        <w:t xml:space="preserve">of </w:t>
      </w:r>
      <w:r w:rsidR="00D10CDF">
        <w:t>the principle of applying the delta TIB and RIB values.</w:t>
      </w:r>
      <w:r w:rsidR="00DF08D4">
        <w:t xml:space="preserve"> </w:t>
      </w:r>
      <w:r w:rsidR="00FB6DFA">
        <w:t xml:space="preserve">Based </w:t>
      </w:r>
      <w:r w:rsidR="00BB6C5A">
        <w:t>on the discussion, w</w:t>
      </w:r>
      <w:r w:rsidR="002B4274">
        <w:t xml:space="preserve">e have the following </w:t>
      </w:r>
      <w:r w:rsidR="00D10CDF">
        <w:t xml:space="preserve">observations and </w:t>
      </w:r>
      <w:r w:rsidR="00FB6DFA">
        <w:t>proposal</w:t>
      </w:r>
      <w:r w:rsidR="00D10CDF">
        <w:t>s</w:t>
      </w:r>
      <w:r w:rsidR="002B4274">
        <w:t>.</w:t>
      </w:r>
    </w:p>
    <w:p w:rsidR="00D10CDF" w:rsidRDefault="00D10CDF" w:rsidP="00D10CDF">
      <w:pPr>
        <w:rPr>
          <w:b/>
        </w:rPr>
      </w:pPr>
      <w:r>
        <w:rPr>
          <w:b/>
        </w:rPr>
        <w:t>Observation 1:</w:t>
      </w:r>
      <w:r>
        <w:rPr>
          <w:b/>
        </w:rPr>
        <w:tab/>
        <w:t xml:space="preserve"> </w:t>
      </w:r>
      <w:r w:rsidR="00752446">
        <w:rPr>
          <w:b/>
        </w:rPr>
        <w:t>The benefit of rule based delta T</w:t>
      </w:r>
      <w:r w:rsidR="00752446" w:rsidRPr="00C868F1">
        <w:rPr>
          <w:b/>
          <w:vertAlign w:val="subscript"/>
        </w:rPr>
        <w:t>IB</w:t>
      </w:r>
      <w:r w:rsidR="00752446">
        <w:rPr>
          <w:b/>
        </w:rPr>
        <w:t xml:space="preserve"> and R</w:t>
      </w:r>
      <w:r w:rsidR="00752446" w:rsidRPr="00C868F1">
        <w:rPr>
          <w:b/>
          <w:vertAlign w:val="subscript"/>
        </w:rPr>
        <w:t>IB</w:t>
      </w:r>
      <w:r w:rsidR="00752446">
        <w:rPr>
          <w:b/>
        </w:rPr>
        <w:t xml:space="preserve"> optimization is obvious.</w:t>
      </w:r>
    </w:p>
    <w:p w:rsidR="00D10CDF" w:rsidRDefault="00D10CDF" w:rsidP="00D10CDF">
      <w:pPr>
        <w:rPr>
          <w:b/>
        </w:rPr>
      </w:pPr>
      <w:r>
        <w:rPr>
          <w:b/>
        </w:rPr>
        <w:t>Observation 2:</w:t>
      </w:r>
      <w:r>
        <w:rPr>
          <w:b/>
        </w:rPr>
        <w:tab/>
        <w:t xml:space="preserve"> For some hypotheses in the rule set, there are still many exception cases to delta T</w:t>
      </w:r>
      <w:r w:rsidRPr="00C868F1">
        <w:rPr>
          <w:b/>
          <w:vertAlign w:val="subscript"/>
        </w:rPr>
        <w:t>IB</w:t>
      </w:r>
      <w:r>
        <w:rPr>
          <w:b/>
        </w:rPr>
        <w:t xml:space="preserve"> and R</w:t>
      </w:r>
      <w:r w:rsidRPr="00C868F1">
        <w:rPr>
          <w:b/>
          <w:vertAlign w:val="subscript"/>
        </w:rPr>
        <w:t>IB</w:t>
      </w:r>
      <w:r>
        <w:rPr>
          <w:b/>
        </w:rPr>
        <w:t>. The optimization to the current delta T</w:t>
      </w:r>
      <w:r w:rsidRPr="00220F9A">
        <w:rPr>
          <w:b/>
          <w:vertAlign w:val="subscript"/>
        </w:rPr>
        <w:t>IB</w:t>
      </w:r>
      <w:r>
        <w:rPr>
          <w:b/>
        </w:rPr>
        <w:t xml:space="preserve"> and R</w:t>
      </w:r>
      <w:r w:rsidRPr="00220F9A">
        <w:rPr>
          <w:b/>
          <w:vertAlign w:val="subscript"/>
        </w:rPr>
        <w:t>IB</w:t>
      </w:r>
      <w:r>
        <w:rPr>
          <w:b/>
        </w:rPr>
        <w:t xml:space="preserve"> tables is still needed.</w:t>
      </w:r>
    </w:p>
    <w:p w:rsidR="00D10CDF" w:rsidRDefault="00752446" w:rsidP="00D10CDF">
      <w:pPr>
        <w:rPr>
          <w:b/>
        </w:rPr>
      </w:pPr>
      <w:r>
        <w:rPr>
          <w:b/>
        </w:rPr>
        <w:t>Proposal 1:</w:t>
      </w:r>
      <w:r>
        <w:rPr>
          <w:b/>
        </w:rPr>
        <w:tab/>
        <w:t xml:space="preserve"> A mix of rule-based and table-based approach for delta T</w:t>
      </w:r>
      <w:r w:rsidRPr="00220F9A">
        <w:rPr>
          <w:b/>
          <w:vertAlign w:val="subscript"/>
        </w:rPr>
        <w:t>IB</w:t>
      </w:r>
      <w:r>
        <w:rPr>
          <w:b/>
        </w:rPr>
        <w:t xml:space="preserve"> and R</w:t>
      </w:r>
      <w:r w:rsidRPr="00220F9A">
        <w:rPr>
          <w:b/>
          <w:vertAlign w:val="subscript"/>
        </w:rPr>
        <w:t>IB</w:t>
      </w:r>
      <w:r>
        <w:rPr>
          <w:b/>
        </w:rPr>
        <w:t xml:space="preserve"> optimization is suggested. Option 2b is considered to be the optimized table template.</w:t>
      </w:r>
    </w:p>
    <w:p w:rsidR="00D10CDF" w:rsidRPr="00E266DB" w:rsidRDefault="00D10CDF" w:rsidP="00D10CDF">
      <w:pPr>
        <w:pStyle w:val="21"/>
        <w:numPr>
          <w:ilvl w:val="1"/>
          <w:numId w:val="50"/>
        </w:numPr>
        <w:autoSpaceDN/>
        <w:spacing w:after="120"/>
        <w:ind w:left="1440" w:firstLineChars="0"/>
        <w:rPr>
          <w:rFonts w:eastAsia="宋体"/>
          <w:b/>
          <w:bCs/>
          <w:i/>
          <w:iCs/>
          <w:color w:val="222A35"/>
          <w:sz w:val="21"/>
          <w:szCs w:val="21"/>
        </w:rPr>
      </w:pPr>
      <w:r>
        <w:rPr>
          <w:rFonts w:eastAsia="宋体"/>
          <w:i/>
          <w:iCs/>
          <w:sz w:val="21"/>
          <w:szCs w:val="21"/>
        </w:rPr>
        <w:t>Option 2b</w:t>
      </w:r>
      <w:r w:rsidRPr="00E266DB">
        <w:rPr>
          <w:rFonts w:eastAsia="宋体"/>
          <w:i/>
          <w:iCs/>
          <w:sz w:val="21"/>
          <w:szCs w:val="21"/>
        </w:rPr>
        <w:t>:</w:t>
      </w:r>
      <w:r w:rsidRPr="00E266DB">
        <w:rPr>
          <w:b/>
          <w:bCs/>
          <w:i/>
          <w:iCs/>
          <w:color w:val="222A35"/>
        </w:rPr>
        <w:t xml:space="preserve"> </w:t>
      </w:r>
    </w:p>
    <w:tbl>
      <w:tblPr>
        <w:tblStyle w:val="ab"/>
        <w:tblW w:w="7508" w:type="dxa"/>
        <w:jc w:val="center"/>
        <w:tblLook w:val="04A0" w:firstRow="1" w:lastRow="0" w:firstColumn="1" w:lastColumn="0" w:noHBand="0" w:noVBand="1"/>
      </w:tblPr>
      <w:tblGrid>
        <w:gridCol w:w="1815"/>
        <w:gridCol w:w="1153"/>
        <w:gridCol w:w="1090"/>
        <w:gridCol w:w="1177"/>
        <w:gridCol w:w="1133"/>
        <w:gridCol w:w="1140"/>
      </w:tblGrid>
      <w:tr w:rsidR="00D10CDF" w:rsidRPr="003962B5" w:rsidTr="00BC365A">
        <w:trPr>
          <w:trHeight w:val="305"/>
          <w:jc w:val="center"/>
        </w:trPr>
        <w:tc>
          <w:tcPr>
            <w:tcW w:w="1815" w:type="dxa"/>
            <w:vMerge w:val="restart"/>
            <w:tcBorders>
              <w:top w:val="single" w:sz="4" w:space="0" w:color="auto"/>
              <w:left w:val="single" w:sz="4" w:space="0" w:color="auto"/>
              <w:right w:val="single" w:sz="4" w:space="0" w:color="auto"/>
            </w:tcBorders>
            <w:hideMark/>
          </w:tcPr>
          <w:p w:rsidR="00D10CDF" w:rsidRPr="00E266DB" w:rsidRDefault="00D10CDF" w:rsidP="00BC365A">
            <w:pPr>
              <w:jc w:val="center"/>
              <w:rPr>
                <w:rFonts w:asciiTheme="minorHAnsi" w:hAnsiTheme="minorHAnsi" w:cstheme="minorHAnsi"/>
                <w:sz w:val="18"/>
                <w:szCs w:val="18"/>
              </w:rPr>
            </w:pPr>
            <w:r w:rsidRPr="00E266DB">
              <w:rPr>
                <w:rFonts w:asciiTheme="minorHAnsi" w:hAnsiTheme="minorHAnsi" w:cstheme="minorHAnsi"/>
                <w:b/>
                <w:bCs/>
                <w:sz w:val="18"/>
                <w:szCs w:val="18"/>
              </w:rPr>
              <w:t>Inter-band EN-DC configuration</w:t>
            </w:r>
          </w:p>
        </w:tc>
        <w:tc>
          <w:tcPr>
            <w:tcW w:w="5693" w:type="dxa"/>
            <w:gridSpan w:val="5"/>
            <w:tcBorders>
              <w:top w:val="single" w:sz="4" w:space="0" w:color="auto"/>
              <w:left w:val="nil"/>
              <w:bottom w:val="single" w:sz="4" w:space="0" w:color="auto"/>
              <w:right w:val="single" w:sz="4" w:space="0" w:color="auto"/>
            </w:tcBorders>
            <w:hideMark/>
          </w:tcPr>
          <w:p w:rsidR="00D10CDF" w:rsidRPr="00E266DB" w:rsidRDefault="00D10CDF" w:rsidP="00BC365A">
            <w:pPr>
              <w:spacing w:after="60"/>
              <w:jc w:val="center"/>
              <w:rPr>
                <w:rFonts w:asciiTheme="minorHAnsi" w:hAnsiTheme="minorHAnsi" w:cstheme="minorHAnsi"/>
                <w:sz w:val="21"/>
                <w:szCs w:val="21"/>
              </w:rPr>
            </w:pPr>
            <w:r>
              <w:rPr>
                <w:rFonts w:asciiTheme="minorHAnsi" w:hAnsiTheme="minorHAnsi" w:cstheme="minorHAnsi"/>
                <w:b/>
                <w:bCs/>
                <w:sz w:val="18"/>
                <w:szCs w:val="18"/>
              </w:rPr>
              <w:t>ΔT</w:t>
            </w:r>
            <w:r w:rsidRPr="007C3E9F">
              <w:rPr>
                <w:rFonts w:asciiTheme="minorHAnsi" w:hAnsiTheme="minorHAnsi" w:cstheme="minorHAnsi"/>
                <w:b/>
                <w:bCs/>
                <w:sz w:val="18"/>
                <w:szCs w:val="18"/>
                <w:vertAlign w:val="subscript"/>
              </w:rPr>
              <w:t>IB,c</w:t>
            </w:r>
            <w:r>
              <w:rPr>
                <w:rFonts w:asciiTheme="minorHAnsi" w:hAnsiTheme="minorHAnsi" w:cstheme="minorHAnsi"/>
                <w:b/>
                <w:bCs/>
                <w:sz w:val="18"/>
                <w:szCs w:val="18"/>
              </w:rPr>
              <w:t xml:space="preserve"> for </w:t>
            </w:r>
            <w:r w:rsidRPr="00E266DB">
              <w:rPr>
                <w:rFonts w:asciiTheme="minorHAnsi" w:hAnsiTheme="minorHAnsi" w:cstheme="minorHAnsi"/>
                <w:b/>
                <w:bCs/>
                <w:sz w:val="18"/>
                <w:szCs w:val="18"/>
              </w:rPr>
              <w:t>E-UTRA band</w:t>
            </w:r>
            <w:r>
              <w:rPr>
                <w:rFonts w:asciiTheme="minorHAnsi" w:hAnsiTheme="minorHAnsi" w:cstheme="minorHAnsi"/>
                <w:b/>
                <w:bCs/>
                <w:sz w:val="18"/>
                <w:szCs w:val="18"/>
              </w:rPr>
              <w:t xml:space="preserve"> </w:t>
            </w:r>
            <w:r w:rsidRPr="00E266DB">
              <w:rPr>
                <w:rFonts w:asciiTheme="minorHAnsi" w:hAnsiTheme="minorHAnsi" w:cstheme="minorHAnsi"/>
                <w:b/>
                <w:bCs/>
                <w:sz w:val="18"/>
                <w:szCs w:val="18"/>
              </w:rPr>
              <w:t>/</w:t>
            </w:r>
            <w:r>
              <w:rPr>
                <w:rFonts w:asciiTheme="minorHAnsi" w:hAnsiTheme="minorHAnsi" w:cstheme="minorHAnsi"/>
                <w:b/>
                <w:bCs/>
                <w:sz w:val="18"/>
                <w:szCs w:val="18"/>
              </w:rPr>
              <w:t xml:space="preserve"> </w:t>
            </w:r>
            <w:r w:rsidRPr="00E266DB">
              <w:rPr>
                <w:rFonts w:asciiTheme="minorHAnsi" w:hAnsiTheme="minorHAnsi" w:cstheme="minorHAnsi"/>
                <w:b/>
                <w:bCs/>
                <w:sz w:val="18"/>
                <w:szCs w:val="18"/>
              </w:rPr>
              <w:t>NR band</w:t>
            </w:r>
            <w:r>
              <w:rPr>
                <w:rFonts w:asciiTheme="minorHAnsi" w:hAnsiTheme="minorHAnsi" w:cstheme="minorHAnsi"/>
                <w:b/>
                <w:bCs/>
                <w:sz w:val="18"/>
                <w:szCs w:val="18"/>
              </w:rPr>
              <w:t xml:space="preserve"> (dB)</w:t>
            </w:r>
          </w:p>
        </w:tc>
      </w:tr>
      <w:tr w:rsidR="00D10CDF" w:rsidRPr="003962B5" w:rsidTr="00BC365A">
        <w:trPr>
          <w:trHeight w:val="170"/>
          <w:jc w:val="center"/>
        </w:trPr>
        <w:tc>
          <w:tcPr>
            <w:tcW w:w="1815" w:type="dxa"/>
            <w:vMerge/>
            <w:tcBorders>
              <w:left w:val="single" w:sz="4" w:space="0" w:color="auto"/>
              <w:right w:val="single" w:sz="4" w:space="0" w:color="auto"/>
            </w:tcBorders>
          </w:tcPr>
          <w:p w:rsidR="00D10CDF" w:rsidRPr="00E266DB" w:rsidRDefault="00D10CDF" w:rsidP="00BC365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rsidR="00D10CDF" w:rsidRDefault="00D10CDF" w:rsidP="00BC365A">
            <w:pPr>
              <w:spacing w:after="60"/>
              <w:jc w:val="center"/>
              <w:rPr>
                <w:rFonts w:asciiTheme="minorHAnsi" w:hAnsiTheme="minorHAnsi" w:cstheme="minorHAnsi"/>
                <w:b/>
                <w:bCs/>
                <w:sz w:val="18"/>
                <w:szCs w:val="18"/>
              </w:rPr>
            </w:pPr>
            <w:r>
              <w:rPr>
                <w:rFonts w:asciiTheme="minorHAnsi" w:hAnsiTheme="minorHAnsi" w:cstheme="minorHAnsi" w:hint="eastAsia"/>
                <w:b/>
                <w:bCs/>
                <w:sz w:val="18"/>
                <w:szCs w:val="18"/>
              </w:rPr>
              <w:t>C</w:t>
            </w:r>
            <w:r>
              <w:rPr>
                <w:rFonts w:asciiTheme="minorHAnsi" w:hAnsiTheme="minorHAnsi" w:cstheme="minorHAnsi"/>
                <w:b/>
                <w:bCs/>
                <w:sz w:val="18"/>
                <w:szCs w:val="18"/>
              </w:rPr>
              <w:t>omponent band in order of bands in configuration</w:t>
            </w:r>
          </w:p>
        </w:tc>
      </w:tr>
      <w:tr w:rsidR="00D10CDF" w:rsidRPr="00E266DB" w:rsidTr="00BC365A">
        <w:trPr>
          <w:jc w:val="center"/>
        </w:trPr>
        <w:tc>
          <w:tcPr>
            <w:tcW w:w="1815" w:type="dxa"/>
            <w:tcBorders>
              <w:top w:val="single" w:sz="4" w:space="0" w:color="auto"/>
              <w:left w:val="single" w:sz="4" w:space="0" w:color="auto"/>
              <w:bottom w:val="single" w:sz="4" w:space="0" w:color="auto"/>
              <w:right w:val="single" w:sz="4" w:space="0" w:color="auto"/>
            </w:tcBorders>
            <w:hideMark/>
          </w:tcPr>
          <w:p w:rsidR="00D10CDF" w:rsidRPr="00E266DB" w:rsidRDefault="00D10CDF" w:rsidP="00BC365A">
            <w:pPr>
              <w:rPr>
                <w:rFonts w:asciiTheme="minorHAnsi" w:hAnsiTheme="minorHAnsi" w:cstheme="minorHAnsi"/>
                <w:sz w:val="18"/>
                <w:szCs w:val="18"/>
              </w:rPr>
            </w:pPr>
            <w:r w:rsidRPr="00E266DB">
              <w:rPr>
                <w:rFonts w:asciiTheme="minorHAnsi" w:hAnsiTheme="minorHAnsi" w:cstheme="minorHAnsi"/>
                <w:sz w:val="18"/>
                <w:szCs w:val="18"/>
              </w:rPr>
              <w:t>DC_1-3-7-40_n78</w:t>
            </w:r>
          </w:p>
        </w:tc>
        <w:tc>
          <w:tcPr>
            <w:tcW w:w="1153" w:type="dxa"/>
            <w:tcBorders>
              <w:top w:val="single" w:sz="4" w:space="0" w:color="auto"/>
              <w:left w:val="nil"/>
              <w:bottom w:val="single" w:sz="4" w:space="0" w:color="auto"/>
              <w:right w:val="single" w:sz="4" w:space="0" w:color="auto"/>
            </w:tcBorders>
            <w:hideMark/>
          </w:tcPr>
          <w:p w:rsidR="00D10CDF" w:rsidRPr="00E266DB" w:rsidRDefault="00D10CDF" w:rsidP="00BC365A">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090" w:type="dxa"/>
            <w:tcBorders>
              <w:top w:val="single" w:sz="4" w:space="0" w:color="auto"/>
              <w:left w:val="nil"/>
              <w:bottom w:val="single" w:sz="4" w:space="0" w:color="auto"/>
              <w:right w:val="single" w:sz="4" w:space="0" w:color="auto"/>
            </w:tcBorders>
            <w:hideMark/>
          </w:tcPr>
          <w:p w:rsidR="00D10CDF" w:rsidRPr="00E266DB" w:rsidRDefault="00D10CDF" w:rsidP="00BC365A">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177" w:type="dxa"/>
            <w:tcBorders>
              <w:top w:val="single" w:sz="4" w:space="0" w:color="auto"/>
              <w:left w:val="nil"/>
              <w:bottom w:val="single" w:sz="4" w:space="0" w:color="auto"/>
              <w:right w:val="single" w:sz="4" w:space="0" w:color="auto"/>
            </w:tcBorders>
            <w:hideMark/>
          </w:tcPr>
          <w:p w:rsidR="00D10CDF" w:rsidRPr="00E266DB" w:rsidRDefault="00D10CDF" w:rsidP="00BC365A">
            <w:pPr>
              <w:jc w:val="center"/>
              <w:rPr>
                <w:rFonts w:asciiTheme="minorHAnsi" w:hAnsiTheme="minorHAnsi" w:cstheme="minorHAnsi"/>
                <w:sz w:val="18"/>
                <w:szCs w:val="18"/>
              </w:rPr>
            </w:pPr>
            <w:r w:rsidRPr="00E266DB">
              <w:rPr>
                <w:rFonts w:asciiTheme="minorHAnsi" w:hAnsiTheme="minorHAnsi" w:cstheme="minorHAnsi"/>
                <w:sz w:val="18"/>
                <w:szCs w:val="18"/>
              </w:rPr>
              <w:t>0.5</w:t>
            </w:r>
          </w:p>
        </w:tc>
        <w:tc>
          <w:tcPr>
            <w:tcW w:w="1133" w:type="dxa"/>
            <w:tcBorders>
              <w:top w:val="single" w:sz="4" w:space="0" w:color="auto"/>
              <w:left w:val="nil"/>
              <w:bottom w:val="single" w:sz="4" w:space="0" w:color="auto"/>
              <w:right w:val="single" w:sz="4" w:space="0" w:color="auto"/>
            </w:tcBorders>
            <w:hideMark/>
          </w:tcPr>
          <w:p w:rsidR="00D10CDF" w:rsidRPr="00E266DB" w:rsidRDefault="00D10CDF" w:rsidP="00BC365A">
            <w:pPr>
              <w:jc w:val="center"/>
              <w:rPr>
                <w:rFonts w:asciiTheme="minorHAnsi" w:hAnsiTheme="minorHAnsi" w:cstheme="minorHAnsi"/>
                <w:sz w:val="18"/>
                <w:szCs w:val="18"/>
              </w:rPr>
            </w:pPr>
            <w:r w:rsidRPr="00E266DB">
              <w:rPr>
                <w:rFonts w:asciiTheme="minorHAnsi" w:hAnsiTheme="minorHAnsi" w:cstheme="minorHAnsi"/>
                <w:sz w:val="18"/>
                <w:szCs w:val="18"/>
              </w:rPr>
              <w:t>0.3</w:t>
            </w:r>
          </w:p>
        </w:tc>
        <w:tc>
          <w:tcPr>
            <w:tcW w:w="1140" w:type="dxa"/>
            <w:tcBorders>
              <w:top w:val="single" w:sz="4" w:space="0" w:color="auto"/>
              <w:left w:val="nil"/>
              <w:bottom w:val="single" w:sz="4" w:space="0" w:color="auto"/>
              <w:right w:val="single" w:sz="4" w:space="0" w:color="auto"/>
            </w:tcBorders>
            <w:hideMark/>
          </w:tcPr>
          <w:p w:rsidR="00D10CDF" w:rsidRPr="00E266DB" w:rsidRDefault="00D10CDF" w:rsidP="00BC365A">
            <w:pPr>
              <w:jc w:val="center"/>
              <w:rPr>
                <w:rFonts w:asciiTheme="minorHAnsi" w:hAnsiTheme="minorHAnsi" w:cstheme="minorHAnsi"/>
                <w:sz w:val="18"/>
                <w:szCs w:val="18"/>
              </w:rPr>
            </w:pPr>
            <w:r w:rsidRPr="00E266DB">
              <w:rPr>
                <w:rFonts w:asciiTheme="minorHAnsi" w:hAnsiTheme="minorHAnsi" w:cstheme="minorHAnsi"/>
                <w:sz w:val="18"/>
                <w:szCs w:val="18"/>
              </w:rPr>
              <w:t>0.8</w:t>
            </w:r>
          </w:p>
        </w:tc>
      </w:tr>
      <w:tr w:rsidR="00D10CDF" w:rsidRPr="00E266DB" w:rsidTr="00BC365A">
        <w:trPr>
          <w:jc w:val="center"/>
        </w:trPr>
        <w:tc>
          <w:tcPr>
            <w:tcW w:w="1815" w:type="dxa"/>
            <w:tcBorders>
              <w:top w:val="single" w:sz="4" w:space="0" w:color="auto"/>
              <w:left w:val="single" w:sz="4" w:space="0" w:color="auto"/>
              <w:bottom w:val="single" w:sz="4" w:space="0" w:color="auto"/>
              <w:right w:val="single" w:sz="4" w:space="0" w:color="auto"/>
            </w:tcBorders>
            <w:hideMark/>
          </w:tcPr>
          <w:p w:rsidR="00D10CDF" w:rsidRPr="00E266DB" w:rsidRDefault="00D10CDF" w:rsidP="00BC365A">
            <w:pPr>
              <w:rPr>
                <w:rFonts w:asciiTheme="minorHAnsi" w:hAnsiTheme="minorHAnsi" w:cstheme="minorHAnsi"/>
                <w:sz w:val="18"/>
                <w:szCs w:val="18"/>
              </w:rPr>
            </w:pPr>
            <w:r w:rsidRPr="00E266DB">
              <w:rPr>
                <w:rFonts w:asciiTheme="minorHAnsi" w:hAnsiTheme="minorHAnsi" w:cstheme="minorHAnsi"/>
                <w:sz w:val="18"/>
                <w:szCs w:val="18"/>
              </w:rPr>
              <w:t>DC_1-3-8-11_n28</w:t>
            </w:r>
          </w:p>
        </w:tc>
        <w:tc>
          <w:tcPr>
            <w:tcW w:w="1153" w:type="dxa"/>
            <w:tcBorders>
              <w:top w:val="single" w:sz="4" w:space="0" w:color="auto"/>
              <w:left w:val="nil"/>
              <w:bottom w:val="single" w:sz="4" w:space="0" w:color="auto"/>
              <w:right w:val="single" w:sz="4" w:space="0" w:color="auto"/>
            </w:tcBorders>
            <w:hideMark/>
          </w:tcPr>
          <w:p w:rsidR="00D10CDF" w:rsidRPr="00E266DB" w:rsidRDefault="00D10CDF" w:rsidP="00BC365A">
            <w:pPr>
              <w:jc w:val="center"/>
              <w:rPr>
                <w:rFonts w:asciiTheme="minorHAnsi" w:hAnsiTheme="minorHAnsi" w:cstheme="minorHAnsi"/>
                <w:sz w:val="18"/>
                <w:szCs w:val="18"/>
              </w:rPr>
            </w:pPr>
            <w:r w:rsidRPr="00E266DB">
              <w:rPr>
                <w:rFonts w:asciiTheme="minorHAnsi" w:hAnsiTheme="minorHAnsi" w:cstheme="minorHAnsi"/>
                <w:sz w:val="18"/>
                <w:szCs w:val="18"/>
              </w:rPr>
              <w:t>0.3</w:t>
            </w:r>
          </w:p>
        </w:tc>
        <w:tc>
          <w:tcPr>
            <w:tcW w:w="1090" w:type="dxa"/>
            <w:tcBorders>
              <w:top w:val="single" w:sz="4" w:space="0" w:color="auto"/>
              <w:left w:val="nil"/>
              <w:bottom w:val="single" w:sz="4" w:space="0" w:color="auto"/>
              <w:right w:val="single" w:sz="4" w:space="0" w:color="auto"/>
            </w:tcBorders>
            <w:hideMark/>
          </w:tcPr>
          <w:p w:rsidR="00D10CDF" w:rsidRPr="00E266DB" w:rsidRDefault="00D10CDF" w:rsidP="00BC365A">
            <w:pPr>
              <w:jc w:val="center"/>
              <w:rPr>
                <w:rFonts w:asciiTheme="minorHAnsi" w:hAnsiTheme="minorHAnsi" w:cstheme="minorHAnsi"/>
                <w:sz w:val="18"/>
                <w:szCs w:val="18"/>
              </w:rPr>
            </w:pPr>
            <w:r w:rsidRPr="00E266DB">
              <w:rPr>
                <w:rFonts w:asciiTheme="minorHAnsi" w:hAnsiTheme="minorHAnsi" w:cstheme="minorHAnsi"/>
                <w:sz w:val="18"/>
                <w:szCs w:val="18"/>
              </w:rPr>
              <w:t>0.8</w:t>
            </w:r>
          </w:p>
        </w:tc>
        <w:tc>
          <w:tcPr>
            <w:tcW w:w="1177" w:type="dxa"/>
            <w:tcBorders>
              <w:top w:val="single" w:sz="4" w:space="0" w:color="auto"/>
              <w:left w:val="nil"/>
              <w:bottom w:val="single" w:sz="4" w:space="0" w:color="auto"/>
              <w:right w:val="single" w:sz="4" w:space="0" w:color="auto"/>
            </w:tcBorders>
            <w:hideMark/>
          </w:tcPr>
          <w:p w:rsidR="00D10CDF" w:rsidRPr="00E266DB" w:rsidRDefault="00D10CDF" w:rsidP="00BC365A">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133" w:type="dxa"/>
            <w:tcBorders>
              <w:top w:val="single" w:sz="4" w:space="0" w:color="auto"/>
              <w:left w:val="nil"/>
              <w:bottom w:val="single" w:sz="4" w:space="0" w:color="auto"/>
              <w:right w:val="single" w:sz="4" w:space="0" w:color="auto"/>
            </w:tcBorders>
            <w:hideMark/>
          </w:tcPr>
          <w:p w:rsidR="00D10CDF" w:rsidRPr="00E266DB" w:rsidRDefault="00D10CDF" w:rsidP="00BC365A">
            <w:pPr>
              <w:jc w:val="center"/>
              <w:rPr>
                <w:rFonts w:asciiTheme="minorHAnsi" w:hAnsiTheme="minorHAnsi" w:cstheme="minorHAnsi"/>
                <w:sz w:val="18"/>
                <w:szCs w:val="18"/>
              </w:rPr>
            </w:pPr>
            <w:r w:rsidRPr="00E266DB">
              <w:rPr>
                <w:rFonts w:asciiTheme="minorHAnsi" w:hAnsiTheme="minorHAnsi" w:cstheme="minorHAnsi"/>
                <w:sz w:val="18"/>
                <w:szCs w:val="18"/>
              </w:rPr>
              <w:t>0.9</w:t>
            </w:r>
          </w:p>
        </w:tc>
        <w:tc>
          <w:tcPr>
            <w:tcW w:w="1140" w:type="dxa"/>
            <w:tcBorders>
              <w:top w:val="single" w:sz="4" w:space="0" w:color="auto"/>
              <w:left w:val="nil"/>
              <w:bottom w:val="single" w:sz="4" w:space="0" w:color="auto"/>
              <w:right w:val="single" w:sz="4" w:space="0" w:color="auto"/>
            </w:tcBorders>
            <w:hideMark/>
          </w:tcPr>
          <w:p w:rsidR="00D10CDF" w:rsidRPr="00E266DB" w:rsidRDefault="00D10CDF" w:rsidP="00BC365A">
            <w:pPr>
              <w:jc w:val="center"/>
              <w:rPr>
                <w:rFonts w:asciiTheme="minorHAnsi" w:hAnsiTheme="minorHAnsi" w:cstheme="minorHAnsi"/>
                <w:sz w:val="18"/>
                <w:szCs w:val="18"/>
              </w:rPr>
            </w:pPr>
            <w:r w:rsidRPr="00E266DB">
              <w:rPr>
                <w:rFonts w:asciiTheme="minorHAnsi" w:hAnsiTheme="minorHAnsi" w:cstheme="minorHAnsi"/>
                <w:sz w:val="18"/>
                <w:szCs w:val="18"/>
              </w:rPr>
              <w:t>0.6</w:t>
            </w:r>
          </w:p>
        </w:tc>
      </w:tr>
      <w:tr w:rsidR="00D10CDF" w:rsidRPr="00E266DB" w:rsidTr="00BC365A">
        <w:trPr>
          <w:jc w:val="center"/>
        </w:trPr>
        <w:tc>
          <w:tcPr>
            <w:tcW w:w="7508" w:type="dxa"/>
            <w:gridSpan w:val="6"/>
            <w:tcBorders>
              <w:top w:val="single" w:sz="4" w:space="0" w:color="auto"/>
              <w:left w:val="single" w:sz="4" w:space="0" w:color="auto"/>
              <w:bottom w:val="single" w:sz="4" w:space="0" w:color="auto"/>
              <w:right w:val="single" w:sz="4" w:space="0" w:color="auto"/>
            </w:tcBorders>
          </w:tcPr>
          <w:p w:rsidR="00D10CDF" w:rsidRPr="00E266DB" w:rsidRDefault="00D10CDF" w:rsidP="00BC365A">
            <w:pPr>
              <w:rPr>
                <w:rFonts w:asciiTheme="minorHAnsi" w:hAnsiTheme="minorHAnsi" w:cstheme="minorHAnsi"/>
                <w:sz w:val="18"/>
                <w:szCs w:val="18"/>
              </w:rPr>
            </w:pPr>
            <w:r w:rsidRPr="00E266DB">
              <w:rPr>
                <w:rFonts w:asciiTheme="minorHAnsi" w:hAnsiTheme="minorHAnsi" w:cstheme="minorHAnsi"/>
                <w:sz w:val="18"/>
                <w:szCs w:val="18"/>
              </w:rPr>
              <w:t xml:space="preserve">Note 1:  </w:t>
            </w:r>
            <w:r>
              <w:rPr>
                <w:rFonts w:asciiTheme="minorHAnsi" w:hAnsiTheme="minorHAnsi" w:cstheme="minorHAnsi"/>
                <w:sz w:val="18"/>
                <w:szCs w:val="18"/>
              </w:rPr>
              <w:t>“-” denote</w:t>
            </w:r>
            <w:r w:rsidRPr="007C3E9F">
              <w:rPr>
                <w:rFonts w:asciiTheme="minorHAnsi" w:hAnsiTheme="minorHAnsi" w:cstheme="minorHAnsi"/>
                <w:sz w:val="18"/>
                <w:szCs w:val="18"/>
              </w:rPr>
              <w:t xml:space="preserve">s </w:t>
            </w:r>
            <w:r w:rsidRPr="007C3E9F">
              <w:rPr>
                <w:rFonts w:asciiTheme="minorHAnsi" w:hAnsiTheme="minorHAnsi" w:cstheme="minorHAnsi"/>
                <w:bCs/>
                <w:sz w:val="18"/>
                <w:szCs w:val="18"/>
              </w:rPr>
              <w:t>ΔT</w:t>
            </w:r>
            <w:r w:rsidRPr="007C3E9F">
              <w:rPr>
                <w:rFonts w:asciiTheme="minorHAnsi" w:hAnsiTheme="minorHAnsi" w:cstheme="minorHAnsi"/>
                <w:bCs/>
                <w:sz w:val="18"/>
                <w:szCs w:val="18"/>
                <w:vertAlign w:val="subscript"/>
              </w:rPr>
              <w:t>IB,c</w:t>
            </w:r>
            <w:r w:rsidRPr="007C3E9F">
              <w:rPr>
                <w:rFonts w:asciiTheme="minorHAnsi" w:hAnsiTheme="minorHAnsi" w:cstheme="minorHAnsi"/>
                <w:sz w:val="18"/>
                <w:szCs w:val="18"/>
              </w:rPr>
              <w:t xml:space="preserve"> =</w:t>
            </w:r>
            <w:r>
              <w:rPr>
                <w:rFonts w:asciiTheme="minorHAnsi" w:hAnsiTheme="minorHAnsi" w:cstheme="minorHAnsi"/>
                <w:sz w:val="18"/>
                <w:szCs w:val="18"/>
              </w:rPr>
              <w:t xml:space="preserve"> </w:t>
            </w:r>
            <w:r w:rsidRPr="007C3E9F">
              <w:rPr>
                <w:rFonts w:asciiTheme="minorHAnsi" w:hAnsiTheme="minorHAnsi" w:cstheme="minorHAnsi"/>
                <w:sz w:val="18"/>
                <w:szCs w:val="18"/>
              </w:rPr>
              <w:t>0</w:t>
            </w:r>
            <w:r>
              <w:rPr>
                <w:rFonts w:asciiTheme="minorHAnsi" w:hAnsiTheme="minorHAnsi" w:cstheme="minorHAnsi"/>
                <w:sz w:val="18"/>
                <w:szCs w:val="18"/>
              </w:rPr>
              <w:t>.</w:t>
            </w:r>
          </w:p>
        </w:tc>
      </w:tr>
    </w:tbl>
    <w:p w:rsidR="00D10CDF" w:rsidRDefault="00D10CDF" w:rsidP="00D10CDF">
      <w:pPr>
        <w:rPr>
          <w:b/>
        </w:rPr>
      </w:pPr>
      <w:r>
        <w:rPr>
          <w:b/>
        </w:rPr>
        <w:t>Proposal 2:</w:t>
      </w:r>
      <w:r>
        <w:rPr>
          <w:b/>
        </w:rPr>
        <w:tab/>
        <w:t xml:space="preserve"> If the rule-based approach is selected for delta T</w:t>
      </w:r>
      <w:r w:rsidRPr="00220F9A">
        <w:rPr>
          <w:b/>
          <w:vertAlign w:val="subscript"/>
        </w:rPr>
        <w:t>IB</w:t>
      </w:r>
      <w:r>
        <w:rPr>
          <w:b/>
        </w:rPr>
        <w:t xml:space="preserve"> and R</w:t>
      </w:r>
      <w:r w:rsidRPr="00220F9A">
        <w:rPr>
          <w:b/>
          <w:vertAlign w:val="subscript"/>
        </w:rPr>
        <w:t>IB</w:t>
      </w:r>
      <w:r>
        <w:rPr>
          <w:b/>
        </w:rPr>
        <w:t>, a stable rule set should be kept.</w:t>
      </w:r>
    </w:p>
    <w:p w:rsidR="00D10CDF" w:rsidRDefault="00D10CDF" w:rsidP="00D10CDF">
      <w:pPr>
        <w:rPr>
          <w:b/>
        </w:rPr>
      </w:pPr>
      <w:r>
        <w:rPr>
          <w:b/>
        </w:rPr>
        <w:t>Proposal 3:</w:t>
      </w:r>
      <w:r>
        <w:rPr>
          <w:b/>
        </w:rPr>
        <w:tab/>
        <w:t xml:space="preserve"> It is suggested to include the optimization of delta T</w:t>
      </w:r>
      <w:r w:rsidRPr="00220F9A">
        <w:rPr>
          <w:b/>
          <w:vertAlign w:val="subscript"/>
        </w:rPr>
        <w:t>IB</w:t>
      </w:r>
      <w:r>
        <w:rPr>
          <w:b/>
        </w:rPr>
        <w:t xml:space="preserve"> and R</w:t>
      </w:r>
      <w:r w:rsidRPr="00220F9A">
        <w:rPr>
          <w:b/>
          <w:vertAlign w:val="subscript"/>
        </w:rPr>
        <w:t>IB</w:t>
      </w:r>
      <w:r>
        <w:rPr>
          <w:b/>
        </w:rPr>
        <w:t xml:space="preserve"> at the last meeting of Rel-17 and implement in Rel-18 if the optimization is agreed.</w:t>
      </w:r>
    </w:p>
    <w:p w:rsidR="00D10CDF" w:rsidRPr="00D10CDF" w:rsidRDefault="00D10CDF" w:rsidP="00BB6C5A"/>
    <w:p w:rsidR="00AD1856" w:rsidRDefault="00AD1856">
      <w:pPr>
        <w:pStyle w:val="1"/>
      </w:pPr>
      <w:r>
        <w:t>4</w:t>
      </w:r>
      <w:r>
        <w:tab/>
        <w:t>References</w:t>
      </w:r>
    </w:p>
    <w:p w:rsidR="00640471" w:rsidRPr="00C13DCB" w:rsidRDefault="00C13DCB" w:rsidP="00643826">
      <w:pPr>
        <w:pStyle w:val="EX"/>
      </w:pPr>
      <w:bookmarkStart w:id="3" w:name="_Ref13820109"/>
      <w:r>
        <w:rPr>
          <w:color w:val="222A35"/>
        </w:rPr>
        <w:t>R4-2109536</w:t>
      </w:r>
      <w:r w:rsidR="00AA4AAC">
        <w:rPr>
          <w:color w:val="222A35"/>
        </w:rPr>
        <w:t>,</w:t>
      </w:r>
      <w:r>
        <w:rPr>
          <w:color w:val="222A35"/>
        </w:rPr>
        <w:t xml:space="preserve"> Simplifications on delta TIB and RIB tables, ZTE</w:t>
      </w:r>
    </w:p>
    <w:p w:rsidR="00AA4AAC" w:rsidRPr="00AA4AAC" w:rsidRDefault="00AA4AAC" w:rsidP="00AA4AAC">
      <w:pPr>
        <w:pStyle w:val="EX"/>
        <w:rPr>
          <w:color w:val="222A35"/>
        </w:rPr>
      </w:pPr>
      <w:r>
        <w:rPr>
          <w:color w:val="222A35"/>
        </w:rPr>
        <w:t xml:space="preserve">R4-2112437, </w:t>
      </w:r>
      <w:r w:rsidRPr="00AA4AAC">
        <w:rPr>
          <w:color w:val="222A35"/>
        </w:rPr>
        <w:t>Discussion on rules based approach and optimized tables of delta TIB and RIB</w:t>
      </w:r>
      <w:r>
        <w:rPr>
          <w:color w:val="222A35"/>
        </w:rPr>
        <w:t>, Samsung</w:t>
      </w:r>
    </w:p>
    <w:p w:rsidR="00AA4AAC" w:rsidRPr="00AA4AAC" w:rsidRDefault="00AA4AAC" w:rsidP="00AA4AAC">
      <w:pPr>
        <w:pStyle w:val="EX"/>
        <w:rPr>
          <w:color w:val="222A35"/>
        </w:rPr>
      </w:pPr>
      <w:r w:rsidRPr="00AA4AAC">
        <w:rPr>
          <w:rFonts w:hint="eastAsia"/>
          <w:color w:val="222A35"/>
        </w:rPr>
        <w:t>R</w:t>
      </w:r>
      <w:r w:rsidRPr="00AA4AAC">
        <w:rPr>
          <w:color w:val="222A35"/>
        </w:rPr>
        <w:t>4-2112792, Statistical distribution of dTib value</w:t>
      </w:r>
      <w:r>
        <w:rPr>
          <w:color w:val="222A35"/>
        </w:rPr>
        <w:t>, Nokia, Nokia Shanghai Bell</w:t>
      </w:r>
    </w:p>
    <w:p w:rsidR="00C13DCB" w:rsidRDefault="00AA4AAC" w:rsidP="004B514D">
      <w:pPr>
        <w:pStyle w:val="EX"/>
      </w:pPr>
      <w:r w:rsidRPr="00AA4AAC">
        <w:rPr>
          <w:rFonts w:hint="eastAsia"/>
          <w:color w:val="222A35"/>
        </w:rPr>
        <w:t>R</w:t>
      </w:r>
      <w:r w:rsidRPr="00AA4AAC">
        <w:rPr>
          <w:color w:val="222A35"/>
        </w:rPr>
        <w:t xml:space="preserve">4-2115044, </w:t>
      </w:r>
      <w:r w:rsidRPr="00AA4AAC">
        <w:rPr>
          <w:rFonts w:hint="eastAsia"/>
          <w:color w:val="222A35"/>
        </w:rPr>
        <w:t xml:space="preserve">Email discussion summary for </w:t>
      </w:r>
      <w:r w:rsidRPr="00AA4AAC">
        <w:rPr>
          <w:color w:val="222A35"/>
        </w:rPr>
        <w:t>[100-e][144]FS_BC_handling, ZTE</w:t>
      </w:r>
    </w:p>
    <w:bookmarkEnd w:id="0"/>
    <w:bookmarkEnd w:id="3"/>
    <w:p w:rsidR="003252F6" w:rsidRDefault="003252F6" w:rsidP="00BB6C5A">
      <w:pPr>
        <w:pStyle w:val="EX"/>
        <w:numPr>
          <w:ilvl w:val="0"/>
          <w:numId w:val="0"/>
        </w:numPr>
      </w:pPr>
    </w:p>
    <w:sectPr w:rsidR="003252F6">
      <w:headerReference w:type="default" r:id="rId9"/>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182" w:rsidRDefault="009F5182">
      <w:r>
        <w:separator/>
      </w:r>
    </w:p>
  </w:endnote>
  <w:endnote w:type="continuationSeparator" w:id="0">
    <w:p w:rsidR="009F5182" w:rsidRDefault="009F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182" w:rsidRDefault="009F5182">
      <w:r>
        <w:separator/>
      </w:r>
    </w:p>
  </w:footnote>
  <w:footnote w:type="continuationSeparator" w:id="0">
    <w:p w:rsidR="009F5182" w:rsidRDefault="009F5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14D" w:rsidRDefault="004B5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4A85">
      <w:rPr>
        <w:rFonts w:ascii="Arial" w:hAnsi="Arial" w:cs="Arial"/>
        <w:b/>
        <w:noProof/>
        <w:sz w:val="18"/>
        <w:szCs w:val="18"/>
      </w:rPr>
      <w:t>3</w:t>
    </w:r>
    <w:r>
      <w:rPr>
        <w:rFonts w:ascii="Arial" w:hAnsi="Arial" w:cs="Arial"/>
        <w:b/>
        <w:sz w:val="18"/>
        <w:szCs w:val="18"/>
      </w:rPr>
      <w:fldChar w:fldCharType="end"/>
    </w:r>
  </w:p>
  <w:p w:rsidR="004B514D" w:rsidRDefault="004B514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F57ED"/>
    <w:multiLevelType w:val="hybridMultilevel"/>
    <w:tmpl w:val="E0B404FE"/>
    <w:lvl w:ilvl="0" w:tplc="AD0AC7C4">
      <w:start w:val="1"/>
      <w:numFmt w:val="bullet"/>
      <w:lvlText w:val="•"/>
      <w:lvlJc w:val="left"/>
      <w:pPr>
        <w:tabs>
          <w:tab w:val="num" w:pos="720"/>
        </w:tabs>
        <w:ind w:left="720" w:hanging="360"/>
      </w:pPr>
      <w:rPr>
        <w:rFonts w:ascii="Arial" w:hAnsi="Arial" w:hint="default"/>
      </w:rPr>
    </w:lvl>
    <w:lvl w:ilvl="1" w:tplc="2AD0EA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1">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5">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6">
    <w:nsid w:val="102042CE"/>
    <w:multiLevelType w:val="hybridMultilevel"/>
    <w:tmpl w:val="23D40264"/>
    <w:lvl w:ilvl="0" w:tplc="0409000B">
      <w:start w:val="1"/>
      <w:numFmt w:val="bullet"/>
      <w:lvlText w:val=""/>
      <w:lvlJc w:val="left"/>
      <w:pPr>
        <w:tabs>
          <w:tab w:val="num" w:pos="720"/>
        </w:tabs>
        <w:ind w:left="720" w:hanging="360"/>
      </w:pPr>
      <w:rPr>
        <w:rFonts w:ascii="Wingdings" w:hAnsi="Wingdings" w:hint="default"/>
      </w:rPr>
    </w:lvl>
    <w:lvl w:ilvl="1" w:tplc="2AD0EA4E">
      <w:numFmt w:val="bullet"/>
      <w:lvlText w:val=""/>
      <w:lvlJc w:val="left"/>
      <w:pPr>
        <w:tabs>
          <w:tab w:val="num" w:pos="1440"/>
        </w:tabs>
        <w:ind w:left="1440" w:hanging="360"/>
      </w:pPr>
      <w:rPr>
        <w:rFonts w:ascii="Wingdings" w:hAnsi="Wingdings" w:hint="default"/>
      </w:rPr>
    </w:lvl>
    <w:lvl w:ilvl="2" w:tplc="61C08084" w:tentative="1">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7">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9">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A362035"/>
    <w:multiLevelType w:val="hybridMultilevel"/>
    <w:tmpl w:val="8DB83982"/>
    <w:lvl w:ilvl="0" w:tplc="AD0AC7C4">
      <w:start w:val="1"/>
      <w:numFmt w:val="bullet"/>
      <w:lvlText w:val="•"/>
      <w:lvlJc w:val="left"/>
      <w:pPr>
        <w:tabs>
          <w:tab w:val="num" w:pos="720"/>
        </w:tabs>
        <w:ind w:left="720" w:hanging="360"/>
      </w:pPr>
      <w:rPr>
        <w:rFonts w:ascii="Arial" w:hAnsi="Arial" w:hint="default"/>
      </w:rPr>
    </w:lvl>
    <w:lvl w:ilvl="1" w:tplc="2AD0EA4E">
      <w:numFmt w:val="bullet"/>
      <w:lvlText w:val=""/>
      <w:lvlJc w:val="left"/>
      <w:pPr>
        <w:tabs>
          <w:tab w:val="num" w:pos="1440"/>
        </w:tabs>
        <w:ind w:left="1440" w:hanging="360"/>
      </w:pPr>
      <w:rPr>
        <w:rFonts w:ascii="Wingdings" w:hAnsi="Wingdings" w:hint="default"/>
      </w:rPr>
    </w:lvl>
    <w:lvl w:ilvl="2" w:tplc="61C08084">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16">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1373CE"/>
    <w:multiLevelType w:val="hybridMultilevel"/>
    <w:tmpl w:val="FE62A2D0"/>
    <w:lvl w:ilvl="0" w:tplc="AD0AC7C4">
      <w:start w:val="1"/>
      <w:numFmt w:val="bullet"/>
      <w:lvlText w:val="•"/>
      <w:lvlJc w:val="left"/>
      <w:pPr>
        <w:tabs>
          <w:tab w:val="num" w:pos="720"/>
        </w:tabs>
        <w:ind w:left="720" w:hanging="360"/>
      </w:pPr>
      <w:rPr>
        <w:rFonts w:ascii="Arial" w:hAnsi="Arial" w:hint="default"/>
      </w:rPr>
    </w:lvl>
    <w:lvl w:ilvl="1" w:tplc="2AD0EA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20">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1">
    <w:nsid w:val="3D616EF3"/>
    <w:multiLevelType w:val="multilevel"/>
    <w:tmpl w:val="57F82340"/>
    <w:lvl w:ilvl="0">
      <w:start w:val="1"/>
      <w:numFmt w:val="bullet"/>
      <w:lvlText w:val="o"/>
      <w:lvlJc w:val="left"/>
      <w:pPr>
        <w:tabs>
          <w:tab w:val="num" w:pos="720"/>
        </w:tabs>
        <w:ind w:left="720" w:hanging="360"/>
      </w:pPr>
      <w:rPr>
        <w:rFonts w:ascii="Courier New" w:hAnsi="Courier New" w:cs="Courier New"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o"/>
      <w:lvlJc w:val="left"/>
      <w:pPr>
        <w:tabs>
          <w:tab w:val="num" w:pos="2160"/>
        </w:tabs>
        <w:ind w:left="2160" w:hanging="360"/>
      </w:pPr>
      <w:rPr>
        <w:rFonts w:ascii="Courier New" w:hAnsi="Courier New" w:cs="Courier New" w:hint="default"/>
        <w:sz w:val="20"/>
        <w:szCs w:val="20"/>
      </w:rPr>
    </w:lvl>
    <w:lvl w:ilvl="3">
      <w:start w:val="1"/>
      <w:numFmt w:val="bullet"/>
      <w:lvlText w:val="o"/>
      <w:lvlJc w:val="left"/>
      <w:pPr>
        <w:tabs>
          <w:tab w:val="num" w:pos="2880"/>
        </w:tabs>
        <w:ind w:left="2880" w:hanging="360"/>
      </w:pPr>
      <w:rPr>
        <w:rFonts w:ascii="Courier New" w:hAnsi="Courier New" w:cs="Courier New" w:hint="default"/>
        <w:sz w:val="20"/>
        <w:szCs w:val="20"/>
      </w:rPr>
    </w:lvl>
    <w:lvl w:ilvl="4">
      <w:start w:val="1"/>
      <w:numFmt w:val="bullet"/>
      <w:lvlText w:val="o"/>
      <w:lvlJc w:val="left"/>
      <w:pPr>
        <w:tabs>
          <w:tab w:val="num" w:pos="3600"/>
        </w:tabs>
        <w:ind w:left="3600" w:hanging="360"/>
      </w:pPr>
      <w:rPr>
        <w:rFonts w:ascii="Courier New" w:hAnsi="Courier New" w:cs="Courier New" w:hint="default"/>
        <w:sz w:val="20"/>
        <w:szCs w:val="20"/>
      </w:rPr>
    </w:lvl>
    <w:lvl w:ilvl="5">
      <w:start w:val="1"/>
      <w:numFmt w:val="bullet"/>
      <w:lvlText w:val="o"/>
      <w:lvlJc w:val="left"/>
      <w:pPr>
        <w:tabs>
          <w:tab w:val="num" w:pos="4320"/>
        </w:tabs>
        <w:ind w:left="4320" w:hanging="360"/>
      </w:pPr>
      <w:rPr>
        <w:rFonts w:ascii="Courier New" w:hAnsi="Courier New" w:cs="Courier New" w:hint="default"/>
        <w:sz w:val="20"/>
        <w:szCs w:val="20"/>
      </w:rPr>
    </w:lvl>
    <w:lvl w:ilvl="6">
      <w:start w:val="1"/>
      <w:numFmt w:val="bullet"/>
      <w:lvlText w:val="o"/>
      <w:lvlJc w:val="left"/>
      <w:pPr>
        <w:tabs>
          <w:tab w:val="num" w:pos="5040"/>
        </w:tabs>
        <w:ind w:left="5040" w:hanging="360"/>
      </w:pPr>
      <w:rPr>
        <w:rFonts w:ascii="Courier New" w:hAnsi="Courier New" w:cs="Courier New" w:hint="default"/>
        <w:sz w:val="20"/>
        <w:szCs w:val="20"/>
      </w:rPr>
    </w:lvl>
    <w:lvl w:ilvl="7">
      <w:start w:val="1"/>
      <w:numFmt w:val="bullet"/>
      <w:lvlText w:val="o"/>
      <w:lvlJc w:val="left"/>
      <w:pPr>
        <w:tabs>
          <w:tab w:val="num" w:pos="5760"/>
        </w:tabs>
        <w:ind w:left="5760" w:hanging="360"/>
      </w:pPr>
      <w:rPr>
        <w:rFonts w:ascii="Courier New" w:hAnsi="Courier New" w:cs="Courier New" w:hint="default"/>
        <w:sz w:val="20"/>
        <w:szCs w:val="20"/>
      </w:rPr>
    </w:lvl>
    <w:lvl w:ilvl="8">
      <w:start w:val="1"/>
      <w:numFmt w:val="bullet"/>
      <w:lvlText w:val="o"/>
      <w:lvlJc w:val="left"/>
      <w:pPr>
        <w:tabs>
          <w:tab w:val="num" w:pos="6480"/>
        </w:tabs>
        <w:ind w:left="6480" w:hanging="360"/>
      </w:pPr>
      <w:rPr>
        <w:rFonts w:ascii="Courier New" w:hAnsi="Courier New" w:cs="Courier New" w:hint="default"/>
        <w:sz w:val="20"/>
        <w:szCs w:val="20"/>
      </w:rPr>
    </w:lvl>
  </w:abstractNum>
  <w:abstractNum w:abstractNumId="22">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2CF3D27"/>
    <w:multiLevelType w:val="hybridMultilevel"/>
    <w:tmpl w:val="906E4470"/>
    <w:lvl w:ilvl="0" w:tplc="AD0AC7C4">
      <w:start w:val="1"/>
      <w:numFmt w:val="bullet"/>
      <w:lvlText w:val="•"/>
      <w:lvlJc w:val="left"/>
      <w:pPr>
        <w:tabs>
          <w:tab w:val="num" w:pos="720"/>
        </w:tabs>
        <w:ind w:left="720" w:hanging="360"/>
      </w:pPr>
      <w:rPr>
        <w:rFonts w:ascii="Arial" w:hAnsi="Arial" w:hint="default"/>
      </w:rPr>
    </w:lvl>
    <w:lvl w:ilvl="1" w:tplc="AD0AC7C4">
      <w:start w:val="1"/>
      <w:numFmt w:val="bullet"/>
      <w:lvlText w:val="•"/>
      <w:lvlJc w:val="left"/>
      <w:pPr>
        <w:tabs>
          <w:tab w:val="num" w:pos="1440"/>
        </w:tabs>
        <w:ind w:left="1440" w:hanging="360"/>
      </w:pPr>
      <w:rPr>
        <w:rFonts w:ascii="Arial" w:hAnsi="Arial" w:hint="default"/>
      </w:rPr>
    </w:lvl>
    <w:lvl w:ilvl="2" w:tplc="61C08084">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25">
    <w:nsid w:val="42F16B19"/>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5145F4C"/>
    <w:multiLevelType w:val="multilevel"/>
    <w:tmpl w:val="5798C064"/>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nsid w:val="4709599B"/>
    <w:multiLevelType w:val="hybridMultilevel"/>
    <w:tmpl w:val="BD282D7E"/>
    <w:lvl w:ilvl="0" w:tplc="AD0AC7C4">
      <w:start w:val="1"/>
      <w:numFmt w:val="bullet"/>
      <w:lvlText w:val="•"/>
      <w:lvlJc w:val="left"/>
      <w:pPr>
        <w:tabs>
          <w:tab w:val="num" w:pos="720"/>
        </w:tabs>
        <w:ind w:left="720" w:hanging="360"/>
      </w:pPr>
      <w:rPr>
        <w:rFonts w:ascii="Arial" w:hAnsi="Arial" w:hint="default"/>
      </w:rPr>
    </w:lvl>
    <w:lvl w:ilvl="1" w:tplc="AD0AC7C4">
      <w:start w:val="1"/>
      <w:numFmt w:val="bullet"/>
      <w:lvlText w:val="•"/>
      <w:lvlJc w:val="left"/>
      <w:pPr>
        <w:tabs>
          <w:tab w:val="num" w:pos="1440"/>
        </w:tabs>
        <w:ind w:left="1440" w:hanging="360"/>
      </w:pPr>
      <w:rPr>
        <w:rFonts w:ascii="Arial" w:hAnsi="Arial" w:hint="default"/>
      </w:rPr>
    </w:lvl>
    <w:lvl w:ilvl="2" w:tplc="61C08084" w:tentative="1">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29">
    <w:nsid w:val="471839AF"/>
    <w:multiLevelType w:val="hybridMultilevel"/>
    <w:tmpl w:val="812C0F1A"/>
    <w:lvl w:ilvl="0" w:tplc="AD0AC7C4">
      <w:start w:val="1"/>
      <w:numFmt w:val="bullet"/>
      <w:lvlText w:val="•"/>
      <w:lvlJc w:val="left"/>
      <w:pPr>
        <w:tabs>
          <w:tab w:val="num" w:pos="720"/>
        </w:tabs>
        <w:ind w:left="720" w:hanging="360"/>
      </w:pPr>
      <w:rPr>
        <w:rFonts w:ascii="Arial" w:hAnsi="Arial" w:hint="default"/>
      </w:rPr>
    </w:lvl>
    <w:lvl w:ilvl="1" w:tplc="AD0AC7C4">
      <w:start w:val="1"/>
      <w:numFmt w:val="bullet"/>
      <w:lvlText w:val="•"/>
      <w:lvlJc w:val="left"/>
      <w:pPr>
        <w:tabs>
          <w:tab w:val="num" w:pos="1440"/>
        </w:tabs>
        <w:ind w:left="1440" w:hanging="360"/>
      </w:pPr>
      <w:rPr>
        <w:rFonts w:ascii="Arial" w:hAnsi="Arial" w:hint="default"/>
      </w:rPr>
    </w:lvl>
    <w:lvl w:ilvl="2" w:tplc="61C08084">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30">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FFA6117"/>
    <w:multiLevelType w:val="hybridMultilevel"/>
    <w:tmpl w:val="D7D493EE"/>
    <w:lvl w:ilvl="0" w:tplc="AD0AC7C4">
      <w:start w:val="1"/>
      <w:numFmt w:val="bullet"/>
      <w:lvlText w:val="•"/>
      <w:lvlJc w:val="left"/>
      <w:pPr>
        <w:tabs>
          <w:tab w:val="num" w:pos="720"/>
        </w:tabs>
        <w:ind w:left="720" w:hanging="360"/>
      </w:pPr>
      <w:rPr>
        <w:rFonts w:ascii="Arial" w:hAnsi="Arial" w:hint="default"/>
      </w:rPr>
    </w:lvl>
    <w:lvl w:ilvl="1" w:tplc="AD0AC7C4">
      <w:start w:val="1"/>
      <w:numFmt w:val="bullet"/>
      <w:lvlText w:val="•"/>
      <w:lvlJc w:val="left"/>
      <w:pPr>
        <w:tabs>
          <w:tab w:val="num" w:pos="1440"/>
        </w:tabs>
        <w:ind w:left="1440" w:hanging="360"/>
      </w:pPr>
      <w:rPr>
        <w:rFonts w:ascii="Arial" w:hAnsi="Arial" w:hint="default"/>
      </w:rPr>
    </w:lvl>
    <w:lvl w:ilvl="2" w:tplc="61C08084">
      <w:start w:val="1"/>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32">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EE424FB"/>
    <w:multiLevelType w:val="multilevel"/>
    <w:tmpl w:val="D58A93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7">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712286"/>
    <w:multiLevelType w:val="hybridMultilevel"/>
    <w:tmpl w:val="E1005BEA"/>
    <w:lvl w:ilvl="0" w:tplc="CD90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B70B14"/>
    <w:multiLevelType w:val="hybridMultilevel"/>
    <w:tmpl w:val="5BDC8380"/>
    <w:lvl w:ilvl="0" w:tplc="AD0AC7C4">
      <w:start w:val="1"/>
      <w:numFmt w:val="bullet"/>
      <w:lvlText w:val="•"/>
      <w:lvlJc w:val="left"/>
      <w:pPr>
        <w:tabs>
          <w:tab w:val="num" w:pos="720"/>
        </w:tabs>
        <w:ind w:left="720" w:hanging="360"/>
      </w:pPr>
      <w:rPr>
        <w:rFonts w:ascii="Arial" w:hAnsi="Arial" w:hint="default"/>
      </w:rPr>
    </w:lvl>
    <w:lvl w:ilvl="1" w:tplc="2AD0EA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43">
    <w:nsid w:val="7783360A"/>
    <w:multiLevelType w:val="hybridMultilevel"/>
    <w:tmpl w:val="D20CD3C4"/>
    <w:lvl w:ilvl="0" w:tplc="AD0AC7C4">
      <w:start w:val="1"/>
      <w:numFmt w:val="bullet"/>
      <w:lvlText w:val="•"/>
      <w:lvlJc w:val="left"/>
      <w:pPr>
        <w:tabs>
          <w:tab w:val="num" w:pos="720"/>
        </w:tabs>
        <w:ind w:left="720" w:hanging="360"/>
      </w:pPr>
      <w:rPr>
        <w:rFonts w:ascii="Arial" w:hAnsi="Arial" w:hint="default"/>
      </w:rPr>
    </w:lvl>
    <w:lvl w:ilvl="1" w:tplc="2AD0EA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C0DEB206" w:tentative="1">
      <w:start w:val="1"/>
      <w:numFmt w:val="bullet"/>
      <w:lvlText w:val="•"/>
      <w:lvlJc w:val="left"/>
      <w:pPr>
        <w:tabs>
          <w:tab w:val="num" w:pos="2880"/>
        </w:tabs>
        <w:ind w:left="2880" w:hanging="360"/>
      </w:pPr>
      <w:rPr>
        <w:rFonts w:ascii="Arial" w:hAnsi="Arial" w:hint="default"/>
      </w:rPr>
    </w:lvl>
    <w:lvl w:ilvl="4" w:tplc="06F065DE" w:tentative="1">
      <w:start w:val="1"/>
      <w:numFmt w:val="bullet"/>
      <w:lvlText w:val="•"/>
      <w:lvlJc w:val="left"/>
      <w:pPr>
        <w:tabs>
          <w:tab w:val="num" w:pos="3600"/>
        </w:tabs>
        <w:ind w:left="3600" w:hanging="360"/>
      </w:pPr>
      <w:rPr>
        <w:rFonts w:ascii="Arial" w:hAnsi="Arial" w:hint="default"/>
      </w:rPr>
    </w:lvl>
    <w:lvl w:ilvl="5" w:tplc="4B6829CE" w:tentative="1">
      <w:start w:val="1"/>
      <w:numFmt w:val="bullet"/>
      <w:lvlText w:val="•"/>
      <w:lvlJc w:val="left"/>
      <w:pPr>
        <w:tabs>
          <w:tab w:val="num" w:pos="4320"/>
        </w:tabs>
        <w:ind w:left="4320" w:hanging="360"/>
      </w:pPr>
      <w:rPr>
        <w:rFonts w:ascii="Arial" w:hAnsi="Arial" w:hint="default"/>
      </w:rPr>
    </w:lvl>
    <w:lvl w:ilvl="6" w:tplc="11A8D08E" w:tentative="1">
      <w:start w:val="1"/>
      <w:numFmt w:val="bullet"/>
      <w:lvlText w:val="•"/>
      <w:lvlJc w:val="left"/>
      <w:pPr>
        <w:tabs>
          <w:tab w:val="num" w:pos="5040"/>
        </w:tabs>
        <w:ind w:left="5040" w:hanging="360"/>
      </w:pPr>
      <w:rPr>
        <w:rFonts w:ascii="Arial" w:hAnsi="Arial" w:hint="default"/>
      </w:rPr>
    </w:lvl>
    <w:lvl w:ilvl="7" w:tplc="5406C494" w:tentative="1">
      <w:start w:val="1"/>
      <w:numFmt w:val="bullet"/>
      <w:lvlText w:val="•"/>
      <w:lvlJc w:val="left"/>
      <w:pPr>
        <w:tabs>
          <w:tab w:val="num" w:pos="5760"/>
        </w:tabs>
        <w:ind w:left="5760" w:hanging="360"/>
      </w:pPr>
      <w:rPr>
        <w:rFonts w:ascii="Arial" w:hAnsi="Arial" w:hint="default"/>
      </w:rPr>
    </w:lvl>
    <w:lvl w:ilvl="8" w:tplc="FA7AAA32" w:tentative="1">
      <w:start w:val="1"/>
      <w:numFmt w:val="bullet"/>
      <w:lvlText w:val="•"/>
      <w:lvlJc w:val="left"/>
      <w:pPr>
        <w:tabs>
          <w:tab w:val="num" w:pos="6480"/>
        </w:tabs>
        <w:ind w:left="6480" w:hanging="360"/>
      </w:pPr>
      <w:rPr>
        <w:rFonts w:ascii="Arial" w:hAnsi="Arial" w:hint="default"/>
      </w:rPr>
    </w:lvl>
  </w:abstractNum>
  <w:abstractNum w:abstractNumId="44">
    <w:nsid w:val="7E0D04ED"/>
    <w:multiLevelType w:val="multilevel"/>
    <w:tmpl w:val="2E1EA39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
  </w:num>
  <w:num w:numId="2">
    <w:abstractNumId w:val="23"/>
  </w:num>
  <w:num w:numId="3">
    <w:abstractNumId w:val="11"/>
  </w:num>
  <w:num w:numId="4">
    <w:abstractNumId w:val="2"/>
  </w:num>
  <w:num w:numId="5">
    <w:abstractNumId w:val="10"/>
  </w:num>
  <w:num w:numId="6">
    <w:abstractNumId w:val="3"/>
  </w:num>
  <w:num w:numId="7">
    <w:abstractNumId w:val="12"/>
  </w:num>
  <w:num w:numId="8">
    <w:abstractNumId w:val="37"/>
  </w:num>
  <w:num w:numId="9">
    <w:abstractNumId w:val="5"/>
  </w:num>
  <w:num w:numId="10">
    <w:abstractNumId w:val="17"/>
  </w:num>
  <w:num w:numId="11">
    <w:abstractNumId w:val="7"/>
  </w:num>
  <w:num w:numId="12">
    <w:abstractNumId w:val="13"/>
  </w:num>
  <w:num w:numId="13">
    <w:abstractNumId w:val="30"/>
  </w:num>
  <w:num w:numId="14">
    <w:abstractNumId w:val="38"/>
  </w:num>
  <w:num w:numId="15">
    <w:abstractNumId w:val="1"/>
  </w:num>
  <w:num w:numId="16">
    <w:abstractNumId w:val="40"/>
  </w:num>
  <w:num w:numId="17">
    <w:abstractNumId w:val="14"/>
  </w:num>
  <w:num w:numId="18">
    <w:abstractNumId w:val="2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34"/>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8"/>
  </w:num>
  <w:num w:numId="25">
    <w:abstractNumId w:val="32"/>
  </w:num>
  <w:num w:numId="26">
    <w:abstractNumId w:val="2"/>
  </w:num>
  <w:num w:numId="27">
    <w:abstractNumId w:val="36"/>
  </w:num>
  <w:num w:numId="28">
    <w:abstractNumId w:val="18"/>
  </w:num>
  <w:num w:numId="29">
    <w:abstractNumId w:val="22"/>
  </w:num>
  <w:num w:numId="30">
    <w:abstractNumId w:val="33"/>
  </w:num>
  <w:num w:numId="31">
    <w:abstractNumId w:val="9"/>
  </w:num>
  <w:num w:numId="32">
    <w:abstractNumId w:val="15"/>
  </w:num>
  <w:num w:numId="33">
    <w:abstractNumId w:val="6"/>
  </w:num>
  <w:num w:numId="34">
    <w:abstractNumId w:val="28"/>
  </w:num>
  <w:num w:numId="35">
    <w:abstractNumId w:val="43"/>
  </w:num>
  <w:num w:numId="36">
    <w:abstractNumId w:val="24"/>
  </w:num>
  <w:num w:numId="37">
    <w:abstractNumId w:val="31"/>
  </w:num>
  <w:num w:numId="38">
    <w:abstractNumId w:val="29"/>
  </w:num>
  <w:num w:numId="39">
    <w:abstractNumId w:val="19"/>
  </w:num>
  <w:num w:numId="40">
    <w:abstractNumId w:val="0"/>
  </w:num>
  <w:num w:numId="41">
    <w:abstractNumId w:val="42"/>
  </w:num>
  <w:num w:numId="42">
    <w:abstractNumId w:val="25"/>
  </w:num>
  <w:num w:numId="43">
    <w:abstractNumId w:val="41"/>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2"/>
  </w:num>
  <w:num w:numId="47">
    <w:abstractNumId w:val="2"/>
  </w:num>
  <w:num w:numId="48">
    <w:abstractNumId w:val="21"/>
  </w:num>
  <w:num w:numId="49">
    <w:abstractNumId w:val="35"/>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B9"/>
    <w:rsid w:val="00004167"/>
    <w:rsid w:val="00004B39"/>
    <w:rsid w:val="00007729"/>
    <w:rsid w:val="00007FD6"/>
    <w:rsid w:val="00010E4E"/>
    <w:rsid w:val="00011475"/>
    <w:rsid w:val="00012465"/>
    <w:rsid w:val="0001295F"/>
    <w:rsid w:val="000162F5"/>
    <w:rsid w:val="00022F88"/>
    <w:rsid w:val="00023FCE"/>
    <w:rsid w:val="000258C4"/>
    <w:rsid w:val="00033397"/>
    <w:rsid w:val="00040095"/>
    <w:rsid w:val="00042003"/>
    <w:rsid w:val="0004539D"/>
    <w:rsid w:val="00051834"/>
    <w:rsid w:val="00054A22"/>
    <w:rsid w:val="00057176"/>
    <w:rsid w:val="00057722"/>
    <w:rsid w:val="0006169D"/>
    <w:rsid w:val="00061D85"/>
    <w:rsid w:val="00062023"/>
    <w:rsid w:val="00062789"/>
    <w:rsid w:val="00064C1C"/>
    <w:rsid w:val="00065288"/>
    <w:rsid w:val="000655A6"/>
    <w:rsid w:val="000675A4"/>
    <w:rsid w:val="000749EF"/>
    <w:rsid w:val="00080512"/>
    <w:rsid w:val="00082455"/>
    <w:rsid w:val="00084A16"/>
    <w:rsid w:val="00090A39"/>
    <w:rsid w:val="00090BC9"/>
    <w:rsid w:val="0009106E"/>
    <w:rsid w:val="00091FBB"/>
    <w:rsid w:val="00091FC7"/>
    <w:rsid w:val="000932CB"/>
    <w:rsid w:val="00095444"/>
    <w:rsid w:val="000955C7"/>
    <w:rsid w:val="000A365D"/>
    <w:rsid w:val="000A68F3"/>
    <w:rsid w:val="000B0227"/>
    <w:rsid w:val="000B0F68"/>
    <w:rsid w:val="000B104F"/>
    <w:rsid w:val="000B1DDC"/>
    <w:rsid w:val="000B1E07"/>
    <w:rsid w:val="000B4EBA"/>
    <w:rsid w:val="000B55B9"/>
    <w:rsid w:val="000B6BBB"/>
    <w:rsid w:val="000C06B1"/>
    <w:rsid w:val="000C2083"/>
    <w:rsid w:val="000C3B8A"/>
    <w:rsid w:val="000C3BF9"/>
    <w:rsid w:val="000C47C3"/>
    <w:rsid w:val="000C62A3"/>
    <w:rsid w:val="000D0361"/>
    <w:rsid w:val="000D28F9"/>
    <w:rsid w:val="000D58AB"/>
    <w:rsid w:val="000E193B"/>
    <w:rsid w:val="000E6B9F"/>
    <w:rsid w:val="000F38D5"/>
    <w:rsid w:val="000F57D2"/>
    <w:rsid w:val="000F6D6D"/>
    <w:rsid w:val="00100493"/>
    <w:rsid w:val="0010068C"/>
    <w:rsid w:val="00100717"/>
    <w:rsid w:val="001047D1"/>
    <w:rsid w:val="00104BC6"/>
    <w:rsid w:val="00104D38"/>
    <w:rsid w:val="001066D4"/>
    <w:rsid w:val="00106AD4"/>
    <w:rsid w:val="00110BB7"/>
    <w:rsid w:val="001126A5"/>
    <w:rsid w:val="001136ED"/>
    <w:rsid w:val="00114E2C"/>
    <w:rsid w:val="001165B0"/>
    <w:rsid w:val="001207CA"/>
    <w:rsid w:val="0012119C"/>
    <w:rsid w:val="00121B3C"/>
    <w:rsid w:val="00121DB9"/>
    <w:rsid w:val="001229B7"/>
    <w:rsid w:val="00123175"/>
    <w:rsid w:val="00125B2D"/>
    <w:rsid w:val="00126E90"/>
    <w:rsid w:val="00131288"/>
    <w:rsid w:val="00132359"/>
    <w:rsid w:val="00132A00"/>
    <w:rsid w:val="00133525"/>
    <w:rsid w:val="001348EF"/>
    <w:rsid w:val="001352E7"/>
    <w:rsid w:val="00142327"/>
    <w:rsid w:val="00143F12"/>
    <w:rsid w:val="001441EE"/>
    <w:rsid w:val="001542E0"/>
    <w:rsid w:val="001578DB"/>
    <w:rsid w:val="00157AD0"/>
    <w:rsid w:val="00160B0A"/>
    <w:rsid w:val="00161B17"/>
    <w:rsid w:val="00162FC7"/>
    <w:rsid w:val="0016471A"/>
    <w:rsid w:val="00165394"/>
    <w:rsid w:val="00165C34"/>
    <w:rsid w:val="001679D8"/>
    <w:rsid w:val="00170E45"/>
    <w:rsid w:val="001717C0"/>
    <w:rsid w:val="001728FA"/>
    <w:rsid w:val="0017321F"/>
    <w:rsid w:val="001733A9"/>
    <w:rsid w:val="001739E3"/>
    <w:rsid w:val="001808B6"/>
    <w:rsid w:val="0018294C"/>
    <w:rsid w:val="00184F79"/>
    <w:rsid w:val="00186C8D"/>
    <w:rsid w:val="00193095"/>
    <w:rsid w:val="00195E7B"/>
    <w:rsid w:val="00197BF1"/>
    <w:rsid w:val="001A1500"/>
    <w:rsid w:val="001A2D84"/>
    <w:rsid w:val="001A41DD"/>
    <w:rsid w:val="001A4C42"/>
    <w:rsid w:val="001A5505"/>
    <w:rsid w:val="001A6EFD"/>
    <w:rsid w:val="001A74C3"/>
    <w:rsid w:val="001B079D"/>
    <w:rsid w:val="001B3666"/>
    <w:rsid w:val="001B4C2D"/>
    <w:rsid w:val="001B6C45"/>
    <w:rsid w:val="001B7683"/>
    <w:rsid w:val="001B7742"/>
    <w:rsid w:val="001C006C"/>
    <w:rsid w:val="001C21C3"/>
    <w:rsid w:val="001C3532"/>
    <w:rsid w:val="001C42DB"/>
    <w:rsid w:val="001C623F"/>
    <w:rsid w:val="001D02C2"/>
    <w:rsid w:val="001D23B6"/>
    <w:rsid w:val="001D4333"/>
    <w:rsid w:val="001D48BB"/>
    <w:rsid w:val="001D4EB8"/>
    <w:rsid w:val="001E1255"/>
    <w:rsid w:val="001E1D4A"/>
    <w:rsid w:val="001E2F64"/>
    <w:rsid w:val="001E7632"/>
    <w:rsid w:val="001F0C1D"/>
    <w:rsid w:val="001F1014"/>
    <w:rsid w:val="001F1132"/>
    <w:rsid w:val="001F168B"/>
    <w:rsid w:val="001F6633"/>
    <w:rsid w:val="001F7883"/>
    <w:rsid w:val="002011EF"/>
    <w:rsid w:val="00202558"/>
    <w:rsid w:val="002027A9"/>
    <w:rsid w:val="00203FFA"/>
    <w:rsid w:val="002057E4"/>
    <w:rsid w:val="00211AD4"/>
    <w:rsid w:val="00216170"/>
    <w:rsid w:val="00216751"/>
    <w:rsid w:val="002167C4"/>
    <w:rsid w:val="00220F9A"/>
    <w:rsid w:val="00221491"/>
    <w:rsid w:val="00225CBD"/>
    <w:rsid w:val="0022714A"/>
    <w:rsid w:val="00230F98"/>
    <w:rsid w:val="0023105B"/>
    <w:rsid w:val="00232119"/>
    <w:rsid w:val="00234541"/>
    <w:rsid w:val="002347A2"/>
    <w:rsid w:val="00234811"/>
    <w:rsid w:val="00235881"/>
    <w:rsid w:val="002363B5"/>
    <w:rsid w:val="0024260C"/>
    <w:rsid w:val="002466C4"/>
    <w:rsid w:val="00246D74"/>
    <w:rsid w:val="00247926"/>
    <w:rsid w:val="0025432B"/>
    <w:rsid w:val="00262E83"/>
    <w:rsid w:val="00263001"/>
    <w:rsid w:val="00264BA8"/>
    <w:rsid w:val="002654A1"/>
    <w:rsid w:val="002675F0"/>
    <w:rsid w:val="00270533"/>
    <w:rsid w:val="00272B54"/>
    <w:rsid w:val="00273869"/>
    <w:rsid w:val="00276EE4"/>
    <w:rsid w:val="002771C6"/>
    <w:rsid w:val="0027773F"/>
    <w:rsid w:val="00293788"/>
    <w:rsid w:val="0029574A"/>
    <w:rsid w:val="00295E6A"/>
    <w:rsid w:val="00296E73"/>
    <w:rsid w:val="002A1375"/>
    <w:rsid w:val="002A6B0A"/>
    <w:rsid w:val="002A7480"/>
    <w:rsid w:val="002A7588"/>
    <w:rsid w:val="002B38DC"/>
    <w:rsid w:val="002B4274"/>
    <w:rsid w:val="002B4E22"/>
    <w:rsid w:val="002B6339"/>
    <w:rsid w:val="002B6A0F"/>
    <w:rsid w:val="002B6AD0"/>
    <w:rsid w:val="002B7BC7"/>
    <w:rsid w:val="002C021A"/>
    <w:rsid w:val="002D0C58"/>
    <w:rsid w:val="002D30A8"/>
    <w:rsid w:val="002D4E21"/>
    <w:rsid w:val="002D4FF0"/>
    <w:rsid w:val="002D58B2"/>
    <w:rsid w:val="002E00EE"/>
    <w:rsid w:val="002E5776"/>
    <w:rsid w:val="002F05D9"/>
    <w:rsid w:val="002F17D3"/>
    <w:rsid w:val="002F1879"/>
    <w:rsid w:val="002F30D8"/>
    <w:rsid w:val="002F33A4"/>
    <w:rsid w:val="002F57B9"/>
    <w:rsid w:val="002F6883"/>
    <w:rsid w:val="002F7D9A"/>
    <w:rsid w:val="00301153"/>
    <w:rsid w:val="00301EEF"/>
    <w:rsid w:val="003042E5"/>
    <w:rsid w:val="003063C5"/>
    <w:rsid w:val="0030688D"/>
    <w:rsid w:val="00310555"/>
    <w:rsid w:val="00311B21"/>
    <w:rsid w:val="00311E3B"/>
    <w:rsid w:val="00313363"/>
    <w:rsid w:val="003159C1"/>
    <w:rsid w:val="003172BA"/>
    <w:rsid w:val="003172DC"/>
    <w:rsid w:val="00321D16"/>
    <w:rsid w:val="003233C6"/>
    <w:rsid w:val="00324A85"/>
    <w:rsid w:val="003252F6"/>
    <w:rsid w:val="00330488"/>
    <w:rsid w:val="00330596"/>
    <w:rsid w:val="003319D9"/>
    <w:rsid w:val="0033326B"/>
    <w:rsid w:val="003343E9"/>
    <w:rsid w:val="0033477C"/>
    <w:rsid w:val="0034022F"/>
    <w:rsid w:val="0034052F"/>
    <w:rsid w:val="00341FCA"/>
    <w:rsid w:val="00343F73"/>
    <w:rsid w:val="003441E3"/>
    <w:rsid w:val="0034597D"/>
    <w:rsid w:val="0034704B"/>
    <w:rsid w:val="00347773"/>
    <w:rsid w:val="00350464"/>
    <w:rsid w:val="00352089"/>
    <w:rsid w:val="0035462D"/>
    <w:rsid w:val="00357629"/>
    <w:rsid w:val="00361F4F"/>
    <w:rsid w:val="003632A8"/>
    <w:rsid w:val="003653E8"/>
    <w:rsid w:val="003715E3"/>
    <w:rsid w:val="00371BCC"/>
    <w:rsid w:val="00371E88"/>
    <w:rsid w:val="0037399D"/>
    <w:rsid w:val="00373CAD"/>
    <w:rsid w:val="003743D2"/>
    <w:rsid w:val="00376088"/>
    <w:rsid w:val="003765B8"/>
    <w:rsid w:val="00376D9A"/>
    <w:rsid w:val="00381764"/>
    <w:rsid w:val="003827BB"/>
    <w:rsid w:val="00382D97"/>
    <w:rsid w:val="00386341"/>
    <w:rsid w:val="00391A73"/>
    <w:rsid w:val="00391EB5"/>
    <w:rsid w:val="0039425C"/>
    <w:rsid w:val="003962B5"/>
    <w:rsid w:val="0039769B"/>
    <w:rsid w:val="003A0483"/>
    <w:rsid w:val="003A2820"/>
    <w:rsid w:val="003A476E"/>
    <w:rsid w:val="003A59BF"/>
    <w:rsid w:val="003A59CF"/>
    <w:rsid w:val="003B47E8"/>
    <w:rsid w:val="003B5808"/>
    <w:rsid w:val="003C0673"/>
    <w:rsid w:val="003C0A48"/>
    <w:rsid w:val="003C154C"/>
    <w:rsid w:val="003C3971"/>
    <w:rsid w:val="003C4685"/>
    <w:rsid w:val="003C6271"/>
    <w:rsid w:val="003D2E90"/>
    <w:rsid w:val="003D6E74"/>
    <w:rsid w:val="003E219C"/>
    <w:rsid w:val="003E3030"/>
    <w:rsid w:val="003E4CE1"/>
    <w:rsid w:val="003E7753"/>
    <w:rsid w:val="003F0D68"/>
    <w:rsid w:val="003F19E4"/>
    <w:rsid w:val="003F6B60"/>
    <w:rsid w:val="00401D17"/>
    <w:rsid w:val="00405C84"/>
    <w:rsid w:val="00406FCD"/>
    <w:rsid w:val="0041092D"/>
    <w:rsid w:val="00411CE1"/>
    <w:rsid w:val="004209EB"/>
    <w:rsid w:val="00423334"/>
    <w:rsid w:val="0042345C"/>
    <w:rsid w:val="00423EE1"/>
    <w:rsid w:val="0042443C"/>
    <w:rsid w:val="0042715E"/>
    <w:rsid w:val="00430DCF"/>
    <w:rsid w:val="004329A1"/>
    <w:rsid w:val="00433316"/>
    <w:rsid w:val="004344EA"/>
    <w:rsid w:val="00434511"/>
    <w:rsid w:val="004345EC"/>
    <w:rsid w:val="00435EF2"/>
    <w:rsid w:val="0044021D"/>
    <w:rsid w:val="00441DCF"/>
    <w:rsid w:val="00454711"/>
    <w:rsid w:val="004547A7"/>
    <w:rsid w:val="00457BBA"/>
    <w:rsid w:val="004601A7"/>
    <w:rsid w:val="00461AEB"/>
    <w:rsid w:val="00462D48"/>
    <w:rsid w:val="00464215"/>
    <w:rsid w:val="0046463F"/>
    <w:rsid w:val="00471B35"/>
    <w:rsid w:val="00473F39"/>
    <w:rsid w:val="00474F6B"/>
    <w:rsid w:val="004758A1"/>
    <w:rsid w:val="0048130F"/>
    <w:rsid w:val="004826A9"/>
    <w:rsid w:val="0048391E"/>
    <w:rsid w:val="00485280"/>
    <w:rsid w:val="00491FF8"/>
    <w:rsid w:val="004928F6"/>
    <w:rsid w:val="00493E0F"/>
    <w:rsid w:val="00496622"/>
    <w:rsid w:val="004A1045"/>
    <w:rsid w:val="004A30E8"/>
    <w:rsid w:val="004A5FAB"/>
    <w:rsid w:val="004A74E5"/>
    <w:rsid w:val="004A78E7"/>
    <w:rsid w:val="004A7BCC"/>
    <w:rsid w:val="004B1E2D"/>
    <w:rsid w:val="004B514D"/>
    <w:rsid w:val="004B5390"/>
    <w:rsid w:val="004B7EAA"/>
    <w:rsid w:val="004C1601"/>
    <w:rsid w:val="004C2B71"/>
    <w:rsid w:val="004C54C2"/>
    <w:rsid w:val="004C65D4"/>
    <w:rsid w:val="004C735B"/>
    <w:rsid w:val="004D0489"/>
    <w:rsid w:val="004D3578"/>
    <w:rsid w:val="004D3BFA"/>
    <w:rsid w:val="004D6ADE"/>
    <w:rsid w:val="004D78BC"/>
    <w:rsid w:val="004E0B97"/>
    <w:rsid w:val="004E1737"/>
    <w:rsid w:val="004E202F"/>
    <w:rsid w:val="004E213A"/>
    <w:rsid w:val="004E3C92"/>
    <w:rsid w:val="004E6963"/>
    <w:rsid w:val="004F0988"/>
    <w:rsid w:val="004F3340"/>
    <w:rsid w:val="004F3E3D"/>
    <w:rsid w:val="004F72C4"/>
    <w:rsid w:val="0050054D"/>
    <w:rsid w:val="00504B44"/>
    <w:rsid w:val="0050581F"/>
    <w:rsid w:val="00505EAD"/>
    <w:rsid w:val="005115AA"/>
    <w:rsid w:val="0051281D"/>
    <w:rsid w:val="005176BE"/>
    <w:rsid w:val="00523EF5"/>
    <w:rsid w:val="005247B1"/>
    <w:rsid w:val="00526705"/>
    <w:rsid w:val="0052714B"/>
    <w:rsid w:val="005317B4"/>
    <w:rsid w:val="0053388B"/>
    <w:rsid w:val="00535773"/>
    <w:rsid w:val="00535C21"/>
    <w:rsid w:val="0054227E"/>
    <w:rsid w:val="00543600"/>
    <w:rsid w:val="00543E6C"/>
    <w:rsid w:val="00545753"/>
    <w:rsid w:val="00547C94"/>
    <w:rsid w:val="0055010B"/>
    <w:rsid w:val="00553DB2"/>
    <w:rsid w:val="00555ACD"/>
    <w:rsid w:val="00556032"/>
    <w:rsid w:val="00557800"/>
    <w:rsid w:val="00560DC1"/>
    <w:rsid w:val="005611D7"/>
    <w:rsid w:val="00561436"/>
    <w:rsid w:val="0056425A"/>
    <w:rsid w:val="00565087"/>
    <w:rsid w:val="00565195"/>
    <w:rsid w:val="00566048"/>
    <w:rsid w:val="005668F0"/>
    <w:rsid w:val="00566F60"/>
    <w:rsid w:val="00570E40"/>
    <w:rsid w:val="00572E14"/>
    <w:rsid w:val="00576BC0"/>
    <w:rsid w:val="00580E88"/>
    <w:rsid w:val="005830A3"/>
    <w:rsid w:val="005843BA"/>
    <w:rsid w:val="00584D5F"/>
    <w:rsid w:val="00585F44"/>
    <w:rsid w:val="005900F2"/>
    <w:rsid w:val="005935AC"/>
    <w:rsid w:val="00594CF4"/>
    <w:rsid w:val="00594E29"/>
    <w:rsid w:val="00596F4A"/>
    <w:rsid w:val="005972D3"/>
    <w:rsid w:val="005973BE"/>
    <w:rsid w:val="005A333A"/>
    <w:rsid w:val="005A5986"/>
    <w:rsid w:val="005A62F8"/>
    <w:rsid w:val="005B428B"/>
    <w:rsid w:val="005B6BAE"/>
    <w:rsid w:val="005C240F"/>
    <w:rsid w:val="005C40F5"/>
    <w:rsid w:val="005C6D5F"/>
    <w:rsid w:val="005C76D0"/>
    <w:rsid w:val="005D1F30"/>
    <w:rsid w:val="005D2E01"/>
    <w:rsid w:val="005D443C"/>
    <w:rsid w:val="005D474F"/>
    <w:rsid w:val="005D7526"/>
    <w:rsid w:val="005E13C4"/>
    <w:rsid w:val="005E1BEE"/>
    <w:rsid w:val="005E2C62"/>
    <w:rsid w:val="005E3EA4"/>
    <w:rsid w:val="005E69AE"/>
    <w:rsid w:val="005F0E07"/>
    <w:rsid w:val="005F25DE"/>
    <w:rsid w:val="005F366B"/>
    <w:rsid w:val="005F5375"/>
    <w:rsid w:val="00602AEA"/>
    <w:rsid w:val="006063BB"/>
    <w:rsid w:val="00606F31"/>
    <w:rsid w:val="00607E3C"/>
    <w:rsid w:val="00610AE6"/>
    <w:rsid w:val="00611C23"/>
    <w:rsid w:val="00613C2E"/>
    <w:rsid w:val="00614FDF"/>
    <w:rsid w:val="00615C99"/>
    <w:rsid w:val="00616254"/>
    <w:rsid w:val="006246A7"/>
    <w:rsid w:val="0062595A"/>
    <w:rsid w:val="00630CFB"/>
    <w:rsid w:val="00634DDB"/>
    <w:rsid w:val="0063543D"/>
    <w:rsid w:val="006372D3"/>
    <w:rsid w:val="006374BF"/>
    <w:rsid w:val="00640471"/>
    <w:rsid w:val="0064113D"/>
    <w:rsid w:val="00643826"/>
    <w:rsid w:val="006454A0"/>
    <w:rsid w:val="00646BF4"/>
    <w:rsid w:val="00647114"/>
    <w:rsid w:val="006512C0"/>
    <w:rsid w:val="00652037"/>
    <w:rsid w:val="00652B23"/>
    <w:rsid w:val="0065338E"/>
    <w:rsid w:val="00655C8C"/>
    <w:rsid w:val="006602A7"/>
    <w:rsid w:val="00660DCB"/>
    <w:rsid w:val="00661402"/>
    <w:rsid w:val="00663254"/>
    <w:rsid w:val="00664B9F"/>
    <w:rsid w:val="00667A11"/>
    <w:rsid w:val="00671BA7"/>
    <w:rsid w:val="00671EBB"/>
    <w:rsid w:val="00676EEE"/>
    <w:rsid w:val="006846FB"/>
    <w:rsid w:val="00685410"/>
    <w:rsid w:val="006855C9"/>
    <w:rsid w:val="00687569"/>
    <w:rsid w:val="00692A2F"/>
    <w:rsid w:val="00697E7A"/>
    <w:rsid w:val="006A2F24"/>
    <w:rsid w:val="006A323F"/>
    <w:rsid w:val="006A7086"/>
    <w:rsid w:val="006B1AA6"/>
    <w:rsid w:val="006B30D0"/>
    <w:rsid w:val="006B5AC6"/>
    <w:rsid w:val="006C167D"/>
    <w:rsid w:val="006C3D95"/>
    <w:rsid w:val="006C6199"/>
    <w:rsid w:val="006C68A9"/>
    <w:rsid w:val="006C6B44"/>
    <w:rsid w:val="006C6C51"/>
    <w:rsid w:val="006D096B"/>
    <w:rsid w:val="006D2EEA"/>
    <w:rsid w:val="006D324A"/>
    <w:rsid w:val="006D76A9"/>
    <w:rsid w:val="006E1B93"/>
    <w:rsid w:val="006E2A95"/>
    <w:rsid w:val="006E3687"/>
    <w:rsid w:val="006E3E71"/>
    <w:rsid w:val="006E5C86"/>
    <w:rsid w:val="006E64C0"/>
    <w:rsid w:val="006F49E6"/>
    <w:rsid w:val="006F59C7"/>
    <w:rsid w:val="00702A58"/>
    <w:rsid w:val="007045AF"/>
    <w:rsid w:val="00710F89"/>
    <w:rsid w:val="0071234D"/>
    <w:rsid w:val="00713C44"/>
    <w:rsid w:val="00717DDC"/>
    <w:rsid w:val="0072103D"/>
    <w:rsid w:val="007241A6"/>
    <w:rsid w:val="00724320"/>
    <w:rsid w:val="00725D83"/>
    <w:rsid w:val="00734850"/>
    <w:rsid w:val="00734A5B"/>
    <w:rsid w:val="00737981"/>
    <w:rsid w:val="0074026F"/>
    <w:rsid w:val="007429F6"/>
    <w:rsid w:val="0074356A"/>
    <w:rsid w:val="0074377F"/>
    <w:rsid w:val="00743B11"/>
    <w:rsid w:val="00744744"/>
    <w:rsid w:val="00744E76"/>
    <w:rsid w:val="007505F4"/>
    <w:rsid w:val="00752198"/>
    <w:rsid w:val="00752446"/>
    <w:rsid w:val="007536C1"/>
    <w:rsid w:val="00753881"/>
    <w:rsid w:val="0075676B"/>
    <w:rsid w:val="00756ABD"/>
    <w:rsid w:val="00763820"/>
    <w:rsid w:val="00764943"/>
    <w:rsid w:val="00767480"/>
    <w:rsid w:val="0077202E"/>
    <w:rsid w:val="0077229C"/>
    <w:rsid w:val="00774972"/>
    <w:rsid w:val="00774DA4"/>
    <w:rsid w:val="00775DE3"/>
    <w:rsid w:val="00781F0F"/>
    <w:rsid w:val="00791445"/>
    <w:rsid w:val="00791E88"/>
    <w:rsid w:val="00792059"/>
    <w:rsid w:val="00792230"/>
    <w:rsid w:val="007A0820"/>
    <w:rsid w:val="007A131E"/>
    <w:rsid w:val="007A272E"/>
    <w:rsid w:val="007A4363"/>
    <w:rsid w:val="007A4ABD"/>
    <w:rsid w:val="007A55BD"/>
    <w:rsid w:val="007B1DA6"/>
    <w:rsid w:val="007B4007"/>
    <w:rsid w:val="007B600E"/>
    <w:rsid w:val="007B72EF"/>
    <w:rsid w:val="007C2486"/>
    <w:rsid w:val="007C2D04"/>
    <w:rsid w:val="007C2E5B"/>
    <w:rsid w:val="007C373C"/>
    <w:rsid w:val="007C3E9F"/>
    <w:rsid w:val="007C4186"/>
    <w:rsid w:val="007C41FA"/>
    <w:rsid w:val="007C4D8E"/>
    <w:rsid w:val="007D1E98"/>
    <w:rsid w:val="007D2D39"/>
    <w:rsid w:val="007D350C"/>
    <w:rsid w:val="007D64FF"/>
    <w:rsid w:val="007D6E06"/>
    <w:rsid w:val="007E273F"/>
    <w:rsid w:val="007E4279"/>
    <w:rsid w:val="007E5E8A"/>
    <w:rsid w:val="007F0F4A"/>
    <w:rsid w:val="007F20A9"/>
    <w:rsid w:val="007F3C59"/>
    <w:rsid w:val="007F65F7"/>
    <w:rsid w:val="007F6EA6"/>
    <w:rsid w:val="008007F8"/>
    <w:rsid w:val="00801A74"/>
    <w:rsid w:val="008028A4"/>
    <w:rsid w:val="0081402A"/>
    <w:rsid w:val="00814537"/>
    <w:rsid w:val="0081501E"/>
    <w:rsid w:val="00816E53"/>
    <w:rsid w:val="00820B25"/>
    <w:rsid w:val="008238FA"/>
    <w:rsid w:val="00824EAA"/>
    <w:rsid w:val="00825DBD"/>
    <w:rsid w:val="0082663C"/>
    <w:rsid w:val="00827913"/>
    <w:rsid w:val="00830747"/>
    <w:rsid w:val="00830E0C"/>
    <w:rsid w:val="008327E8"/>
    <w:rsid w:val="00834270"/>
    <w:rsid w:val="008406EF"/>
    <w:rsid w:val="00840E91"/>
    <w:rsid w:val="00840EB6"/>
    <w:rsid w:val="00841365"/>
    <w:rsid w:val="00843FF2"/>
    <w:rsid w:val="00844962"/>
    <w:rsid w:val="0084757A"/>
    <w:rsid w:val="00850D60"/>
    <w:rsid w:val="00852642"/>
    <w:rsid w:val="00853998"/>
    <w:rsid w:val="0085494A"/>
    <w:rsid w:val="0086601B"/>
    <w:rsid w:val="008669D6"/>
    <w:rsid w:val="00867F07"/>
    <w:rsid w:val="00871372"/>
    <w:rsid w:val="008728D3"/>
    <w:rsid w:val="008729AB"/>
    <w:rsid w:val="00875440"/>
    <w:rsid w:val="0087548E"/>
    <w:rsid w:val="0087651C"/>
    <w:rsid w:val="008767C1"/>
    <w:rsid w:val="008768CA"/>
    <w:rsid w:val="0087715C"/>
    <w:rsid w:val="00880224"/>
    <w:rsid w:val="00880F3A"/>
    <w:rsid w:val="00883771"/>
    <w:rsid w:val="0088477E"/>
    <w:rsid w:val="00886945"/>
    <w:rsid w:val="00890C29"/>
    <w:rsid w:val="008918AD"/>
    <w:rsid w:val="008919BF"/>
    <w:rsid w:val="00891FE8"/>
    <w:rsid w:val="00892C51"/>
    <w:rsid w:val="00893DF6"/>
    <w:rsid w:val="00896C6D"/>
    <w:rsid w:val="008A1094"/>
    <w:rsid w:val="008A14B2"/>
    <w:rsid w:val="008A1CE8"/>
    <w:rsid w:val="008A578A"/>
    <w:rsid w:val="008B1724"/>
    <w:rsid w:val="008C384C"/>
    <w:rsid w:val="008C48B5"/>
    <w:rsid w:val="008C4F93"/>
    <w:rsid w:val="008C4F98"/>
    <w:rsid w:val="008D0837"/>
    <w:rsid w:val="008D0E81"/>
    <w:rsid w:val="008D228C"/>
    <w:rsid w:val="008D368E"/>
    <w:rsid w:val="008D3F49"/>
    <w:rsid w:val="008D4762"/>
    <w:rsid w:val="008D710C"/>
    <w:rsid w:val="008E1F5A"/>
    <w:rsid w:val="008E35EF"/>
    <w:rsid w:val="008E415C"/>
    <w:rsid w:val="008E43BC"/>
    <w:rsid w:val="008E73BB"/>
    <w:rsid w:val="008E7986"/>
    <w:rsid w:val="008F1314"/>
    <w:rsid w:val="008F2207"/>
    <w:rsid w:val="008F2F51"/>
    <w:rsid w:val="008F40AD"/>
    <w:rsid w:val="008F41BA"/>
    <w:rsid w:val="008F6583"/>
    <w:rsid w:val="0090271F"/>
    <w:rsid w:val="00902E23"/>
    <w:rsid w:val="009032AE"/>
    <w:rsid w:val="00904DC4"/>
    <w:rsid w:val="00905873"/>
    <w:rsid w:val="00905CF4"/>
    <w:rsid w:val="00906EB9"/>
    <w:rsid w:val="00910E20"/>
    <w:rsid w:val="009113E6"/>
    <w:rsid w:val="009114D7"/>
    <w:rsid w:val="00911689"/>
    <w:rsid w:val="0091348E"/>
    <w:rsid w:val="00913DEC"/>
    <w:rsid w:val="00915A64"/>
    <w:rsid w:val="00915E18"/>
    <w:rsid w:val="00917CCB"/>
    <w:rsid w:val="00917FC5"/>
    <w:rsid w:val="00920374"/>
    <w:rsid w:val="00921116"/>
    <w:rsid w:val="00923B0D"/>
    <w:rsid w:val="009248F8"/>
    <w:rsid w:val="00925EAA"/>
    <w:rsid w:val="00927B2F"/>
    <w:rsid w:val="0093420B"/>
    <w:rsid w:val="0094203F"/>
    <w:rsid w:val="00942E7E"/>
    <w:rsid w:val="00942EC2"/>
    <w:rsid w:val="009434B9"/>
    <w:rsid w:val="009434FC"/>
    <w:rsid w:val="009451AC"/>
    <w:rsid w:val="0095191F"/>
    <w:rsid w:val="009533CB"/>
    <w:rsid w:val="0095393B"/>
    <w:rsid w:val="00956F98"/>
    <w:rsid w:val="00957EC6"/>
    <w:rsid w:val="00960EAB"/>
    <w:rsid w:val="00962134"/>
    <w:rsid w:val="009621B3"/>
    <w:rsid w:val="009636B4"/>
    <w:rsid w:val="00964C3C"/>
    <w:rsid w:val="00967A28"/>
    <w:rsid w:val="00971B27"/>
    <w:rsid w:val="009738B5"/>
    <w:rsid w:val="0097657D"/>
    <w:rsid w:val="009801A3"/>
    <w:rsid w:val="00983C7A"/>
    <w:rsid w:val="009841ED"/>
    <w:rsid w:val="00984AC9"/>
    <w:rsid w:val="00991002"/>
    <w:rsid w:val="0099682A"/>
    <w:rsid w:val="009A096A"/>
    <w:rsid w:val="009A5EFF"/>
    <w:rsid w:val="009A73C2"/>
    <w:rsid w:val="009A75F8"/>
    <w:rsid w:val="009B2A55"/>
    <w:rsid w:val="009B4FC5"/>
    <w:rsid w:val="009C091A"/>
    <w:rsid w:val="009C41CF"/>
    <w:rsid w:val="009C5A5D"/>
    <w:rsid w:val="009C779B"/>
    <w:rsid w:val="009C7D05"/>
    <w:rsid w:val="009D1301"/>
    <w:rsid w:val="009D3BAD"/>
    <w:rsid w:val="009D3E65"/>
    <w:rsid w:val="009D525E"/>
    <w:rsid w:val="009E0ABB"/>
    <w:rsid w:val="009E5870"/>
    <w:rsid w:val="009E5B6C"/>
    <w:rsid w:val="009E6EF9"/>
    <w:rsid w:val="009F2D20"/>
    <w:rsid w:val="009F37B7"/>
    <w:rsid w:val="009F438C"/>
    <w:rsid w:val="009F5182"/>
    <w:rsid w:val="009F5E43"/>
    <w:rsid w:val="009F6611"/>
    <w:rsid w:val="00A0660B"/>
    <w:rsid w:val="00A10F02"/>
    <w:rsid w:val="00A1181E"/>
    <w:rsid w:val="00A12353"/>
    <w:rsid w:val="00A13192"/>
    <w:rsid w:val="00A164B4"/>
    <w:rsid w:val="00A17AB3"/>
    <w:rsid w:val="00A20F34"/>
    <w:rsid w:val="00A22E14"/>
    <w:rsid w:val="00A23F9F"/>
    <w:rsid w:val="00A26956"/>
    <w:rsid w:val="00A2740C"/>
    <w:rsid w:val="00A27817"/>
    <w:rsid w:val="00A40481"/>
    <w:rsid w:val="00A40E64"/>
    <w:rsid w:val="00A41F9F"/>
    <w:rsid w:val="00A43588"/>
    <w:rsid w:val="00A45AE1"/>
    <w:rsid w:val="00A45FBE"/>
    <w:rsid w:val="00A46C3E"/>
    <w:rsid w:val="00A5228B"/>
    <w:rsid w:val="00A53724"/>
    <w:rsid w:val="00A57483"/>
    <w:rsid w:val="00A614CC"/>
    <w:rsid w:val="00A61D21"/>
    <w:rsid w:val="00A63A9E"/>
    <w:rsid w:val="00A64DC7"/>
    <w:rsid w:val="00A706F3"/>
    <w:rsid w:val="00A708B4"/>
    <w:rsid w:val="00A721CC"/>
    <w:rsid w:val="00A73129"/>
    <w:rsid w:val="00A75401"/>
    <w:rsid w:val="00A75E72"/>
    <w:rsid w:val="00A81723"/>
    <w:rsid w:val="00A822F3"/>
    <w:rsid w:val="00A82316"/>
    <w:rsid w:val="00A82346"/>
    <w:rsid w:val="00A920E3"/>
    <w:rsid w:val="00A92BA1"/>
    <w:rsid w:val="00A95CF7"/>
    <w:rsid w:val="00A95FA5"/>
    <w:rsid w:val="00A97026"/>
    <w:rsid w:val="00AA15E6"/>
    <w:rsid w:val="00AA1DEE"/>
    <w:rsid w:val="00AA4AAC"/>
    <w:rsid w:val="00AA756E"/>
    <w:rsid w:val="00AA7587"/>
    <w:rsid w:val="00AA7E03"/>
    <w:rsid w:val="00AB55F7"/>
    <w:rsid w:val="00AB7BAE"/>
    <w:rsid w:val="00AC0712"/>
    <w:rsid w:val="00AC0F82"/>
    <w:rsid w:val="00AC1894"/>
    <w:rsid w:val="00AC44E4"/>
    <w:rsid w:val="00AC64FE"/>
    <w:rsid w:val="00AC6BC6"/>
    <w:rsid w:val="00AD02DD"/>
    <w:rsid w:val="00AD1856"/>
    <w:rsid w:val="00AE0D02"/>
    <w:rsid w:val="00AE31A5"/>
    <w:rsid w:val="00AE3797"/>
    <w:rsid w:val="00AE46C3"/>
    <w:rsid w:val="00AE49DF"/>
    <w:rsid w:val="00AE5263"/>
    <w:rsid w:val="00AE65C1"/>
    <w:rsid w:val="00AE6A29"/>
    <w:rsid w:val="00AE7938"/>
    <w:rsid w:val="00AE7C45"/>
    <w:rsid w:val="00AF3DFE"/>
    <w:rsid w:val="00AF3E87"/>
    <w:rsid w:val="00AF6E9C"/>
    <w:rsid w:val="00B002EB"/>
    <w:rsid w:val="00B03062"/>
    <w:rsid w:val="00B0551F"/>
    <w:rsid w:val="00B06B5A"/>
    <w:rsid w:val="00B106AD"/>
    <w:rsid w:val="00B13A90"/>
    <w:rsid w:val="00B15449"/>
    <w:rsid w:val="00B17006"/>
    <w:rsid w:val="00B1778C"/>
    <w:rsid w:val="00B24825"/>
    <w:rsid w:val="00B25E6A"/>
    <w:rsid w:val="00B274AB"/>
    <w:rsid w:val="00B2768B"/>
    <w:rsid w:val="00B3023B"/>
    <w:rsid w:val="00B303EF"/>
    <w:rsid w:val="00B30480"/>
    <w:rsid w:val="00B31AAF"/>
    <w:rsid w:val="00B34EE0"/>
    <w:rsid w:val="00B369FE"/>
    <w:rsid w:val="00B36DFE"/>
    <w:rsid w:val="00B37A1C"/>
    <w:rsid w:val="00B41F54"/>
    <w:rsid w:val="00B479CC"/>
    <w:rsid w:val="00B535D3"/>
    <w:rsid w:val="00B558D0"/>
    <w:rsid w:val="00B57417"/>
    <w:rsid w:val="00B63111"/>
    <w:rsid w:val="00B64156"/>
    <w:rsid w:val="00B64C9C"/>
    <w:rsid w:val="00B6548D"/>
    <w:rsid w:val="00B66323"/>
    <w:rsid w:val="00B665B8"/>
    <w:rsid w:val="00B6755C"/>
    <w:rsid w:val="00B67C14"/>
    <w:rsid w:val="00B721D0"/>
    <w:rsid w:val="00B76439"/>
    <w:rsid w:val="00B77BE0"/>
    <w:rsid w:val="00B825DA"/>
    <w:rsid w:val="00B8290F"/>
    <w:rsid w:val="00B85868"/>
    <w:rsid w:val="00B86886"/>
    <w:rsid w:val="00B92AC5"/>
    <w:rsid w:val="00B92B3B"/>
    <w:rsid w:val="00B93086"/>
    <w:rsid w:val="00BA0D42"/>
    <w:rsid w:val="00BA19ED"/>
    <w:rsid w:val="00BA2D56"/>
    <w:rsid w:val="00BA300B"/>
    <w:rsid w:val="00BA45F2"/>
    <w:rsid w:val="00BA4B8D"/>
    <w:rsid w:val="00BA59AC"/>
    <w:rsid w:val="00BA64BA"/>
    <w:rsid w:val="00BA7414"/>
    <w:rsid w:val="00BB443D"/>
    <w:rsid w:val="00BB5A68"/>
    <w:rsid w:val="00BB6C5A"/>
    <w:rsid w:val="00BC0F7D"/>
    <w:rsid w:val="00BC2F9D"/>
    <w:rsid w:val="00BC37A8"/>
    <w:rsid w:val="00BC5463"/>
    <w:rsid w:val="00BD0FE0"/>
    <w:rsid w:val="00BD1748"/>
    <w:rsid w:val="00BD1FBB"/>
    <w:rsid w:val="00BD5E89"/>
    <w:rsid w:val="00BE072C"/>
    <w:rsid w:val="00BE0782"/>
    <w:rsid w:val="00BE2B0D"/>
    <w:rsid w:val="00BE3255"/>
    <w:rsid w:val="00BE56B0"/>
    <w:rsid w:val="00BF128E"/>
    <w:rsid w:val="00BF2CB1"/>
    <w:rsid w:val="00BF4164"/>
    <w:rsid w:val="00BF45DE"/>
    <w:rsid w:val="00BF518B"/>
    <w:rsid w:val="00BF66D4"/>
    <w:rsid w:val="00C015B3"/>
    <w:rsid w:val="00C02233"/>
    <w:rsid w:val="00C025F6"/>
    <w:rsid w:val="00C02751"/>
    <w:rsid w:val="00C05576"/>
    <w:rsid w:val="00C067FD"/>
    <w:rsid w:val="00C06A0B"/>
    <w:rsid w:val="00C11BD3"/>
    <w:rsid w:val="00C13B16"/>
    <w:rsid w:val="00C13DCB"/>
    <w:rsid w:val="00C1496A"/>
    <w:rsid w:val="00C204C2"/>
    <w:rsid w:val="00C27DE7"/>
    <w:rsid w:val="00C33079"/>
    <w:rsid w:val="00C33B74"/>
    <w:rsid w:val="00C35C91"/>
    <w:rsid w:val="00C40C96"/>
    <w:rsid w:val="00C415ED"/>
    <w:rsid w:val="00C429E7"/>
    <w:rsid w:val="00C434B1"/>
    <w:rsid w:val="00C43AC8"/>
    <w:rsid w:val="00C43D92"/>
    <w:rsid w:val="00C45231"/>
    <w:rsid w:val="00C47EC7"/>
    <w:rsid w:val="00C54191"/>
    <w:rsid w:val="00C66B84"/>
    <w:rsid w:val="00C67A83"/>
    <w:rsid w:val="00C72833"/>
    <w:rsid w:val="00C73941"/>
    <w:rsid w:val="00C73CED"/>
    <w:rsid w:val="00C80F1D"/>
    <w:rsid w:val="00C82A7E"/>
    <w:rsid w:val="00C8364C"/>
    <w:rsid w:val="00C84A93"/>
    <w:rsid w:val="00C863AA"/>
    <w:rsid w:val="00C868F1"/>
    <w:rsid w:val="00C86D82"/>
    <w:rsid w:val="00C8728F"/>
    <w:rsid w:val="00C91207"/>
    <w:rsid w:val="00C91452"/>
    <w:rsid w:val="00C91A2A"/>
    <w:rsid w:val="00C929EA"/>
    <w:rsid w:val="00C93216"/>
    <w:rsid w:val="00C9397B"/>
    <w:rsid w:val="00C93AEC"/>
    <w:rsid w:val="00C93F40"/>
    <w:rsid w:val="00C9487B"/>
    <w:rsid w:val="00C9523C"/>
    <w:rsid w:val="00C9528E"/>
    <w:rsid w:val="00CA0AB6"/>
    <w:rsid w:val="00CA3D0C"/>
    <w:rsid w:val="00CA571E"/>
    <w:rsid w:val="00CA5B04"/>
    <w:rsid w:val="00CA67DB"/>
    <w:rsid w:val="00CA6BDC"/>
    <w:rsid w:val="00CA7EC0"/>
    <w:rsid w:val="00CB38C3"/>
    <w:rsid w:val="00CB38D7"/>
    <w:rsid w:val="00CB493D"/>
    <w:rsid w:val="00CC128A"/>
    <w:rsid w:val="00CC2556"/>
    <w:rsid w:val="00CC3B8E"/>
    <w:rsid w:val="00CC7D9D"/>
    <w:rsid w:val="00CC7F5F"/>
    <w:rsid w:val="00CD137C"/>
    <w:rsid w:val="00CD3C45"/>
    <w:rsid w:val="00CD4021"/>
    <w:rsid w:val="00CD429A"/>
    <w:rsid w:val="00CD5A51"/>
    <w:rsid w:val="00CD7442"/>
    <w:rsid w:val="00CD75C8"/>
    <w:rsid w:val="00CE3DAB"/>
    <w:rsid w:val="00CE651C"/>
    <w:rsid w:val="00CE6DC2"/>
    <w:rsid w:val="00CF17A7"/>
    <w:rsid w:val="00CF20E3"/>
    <w:rsid w:val="00CF4500"/>
    <w:rsid w:val="00CF5E28"/>
    <w:rsid w:val="00D0057C"/>
    <w:rsid w:val="00D014DF"/>
    <w:rsid w:val="00D03600"/>
    <w:rsid w:val="00D04885"/>
    <w:rsid w:val="00D0663B"/>
    <w:rsid w:val="00D07832"/>
    <w:rsid w:val="00D10208"/>
    <w:rsid w:val="00D10CDF"/>
    <w:rsid w:val="00D13AB4"/>
    <w:rsid w:val="00D15E19"/>
    <w:rsid w:val="00D202CB"/>
    <w:rsid w:val="00D2233D"/>
    <w:rsid w:val="00D25704"/>
    <w:rsid w:val="00D30164"/>
    <w:rsid w:val="00D30317"/>
    <w:rsid w:val="00D309CC"/>
    <w:rsid w:val="00D310DB"/>
    <w:rsid w:val="00D33315"/>
    <w:rsid w:val="00D33BC4"/>
    <w:rsid w:val="00D348FB"/>
    <w:rsid w:val="00D40582"/>
    <w:rsid w:val="00D43600"/>
    <w:rsid w:val="00D439E7"/>
    <w:rsid w:val="00D43D7A"/>
    <w:rsid w:val="00D44945"/>
    <w:rsid w:val="00D4534D"/>
    <w:rsid w:val="00D453A9"/>
    <w:rsid w:val="00D46431"/>
    <w:rsid w:val="00D46F43"/>
    <w:rsid w:val="00D50760"/>
    <w:rsid w:val="00D538B3"/>
    <w:rsid w:val="00D540BE"/>
    <w:rsid w:val="00D5454A"/>
    <w:rsid w:val="00D56A52"/>
    <w:rsid w:val="00D57972"/>
    <w:rsid w:val="00D60B7A"/>
    <w:rsid w:val="00D627AE"/>
    <w:rsid w:val="00D6400F"/>
    <w:rsid w:val="00D65A31"/>
    <w:rsid w:val="00D675A9"/>
    <w:rsid w:val="00D67AB1"/>
    <w:rsid w:val="00D712FB"/>
    <w:rsid w:val="00D738D6"/>
    <w:rsid w:val="00D73C3D"/>
    <w:rsid w:val="00D755EB"/>
    <w:rsid w:val="00D80FC6"/>
    <w:rsid w:val="00D8104B"/>
    <w:rsid w:val="00D848D6"/>
    <w:rsid w:val="00D87E00"/>
    <w:rsid w:val="00D9134D"/>
    <w:rsid w:val="00D91864"/>
    <w:rsid w:val="00D9214A"/>
    <w:rsid w:val="00DA1C6A"/>
    <w:rsid w:val="00DA2DBB"/>
    <w:rsid w:val="00DA3D6D"/>
    <w:rsid w:val="00DA4EA5"/>
    <w:rsid w:val="00DA7A03"/>
    <w:rsid w:val="00DB02AE"/>
    <w:rsid w:val="00DB1818"/>
    <w:rsid w:val="00DB48EB"/>
    <w:rsid w:val="00DB6268"/>
    <w:rsid w:val="00DC1304"/>
    <w:rsid w:val="00DC309B"/>
    <w:rsid w:val="00DC4DA2"/>
    <w:rsid w:val="00DC7D5D"/>
    <w:rsid w:val="00DD3A2E"/>
    <w:rsid w:val="00DD3E36"/>
    <w:rsid w:val="00DD4C17"/>
    <w:rsid w:val="00DE09BD"/>
    <w:rsid w:val="00DE40CF"/>
    <w:rsid w:val="00DE5880"/>
    <w:rsid w:val="00DF05CD"/>
    <w:rsid w:val="00DF08D4"/>
    <w:rsid w:val="00DF215F"/>
    <w:rsid w:val="00DF2B1F"/>
    <w:rsid w:val="00DF5B5C"/>
    <w:rsid w:val="00DF6189"/>
    <w:rsid w:val="00DF62CD"/>
    <w:rsid w:val="00DF7754"/>
    <w:rsid w:val="00E0246E"/>
    <w:rsid w:val="00E034D1"/>
    <w:rsid w:val="00E047C8"/>
    <w:rsid w:val="00E104EE"/>
    <w:rsid w:val="00E10728"/>
    <w:rsid w:val="00E121D1"/>
    <w:rsid w:val="00E13DA2"/>
    <w:rsid w:val="00E15B44"/>
    <w:rsid w:val="00E16509"/>
    <w:rsid w:val="00E16EE0"/>
    <w:rsid w:val="00E24689"/>
    <w:rsid w:val="00E24807"/>
    <w:rsid w:val="00E266DB"/>
    <w:rsid w:val="00E33A2C"/>
    <w:rsid w:val="00E34203"/>
    <w:rsid w:val="00E344B4"/>
    <w:rsid w:val="00E3484E"/>
    <w:rsid w:val="00E36028"/>
    <w:rsid w:val="00E3668A"/>
    <w:rsid w:val="00E36B2B"/>
    <w:rsid w:val="00E42A05"/>
    <w:rsid w:val="00E4372A"/>
    <w:rsid w:val="00E44582"/>
    <w:rsid w:val="00E45DF8"/>
    <w:rsid w:val="00E5123B"/>
    <w:rsid w:val="00E52495"/>
    <w:rsid w:val="00E52814"/>
    <w:rsid w:val="00E531EF"/>
    <w:rsid w:val="00E53C87"/>
    <w:rsid w:val="00E55388"/>
    <w:rsid w:val="00E56C5E"/>
    <w:rsid w:val="00E616AF"/>
    <w:rsid w:val="00E61A9D"/>
    <w:rsid w:val="00E649D8"/>
    <w:rsid w:val="00E66A66"/>
    <w:rsid w:val="00E72324"/>
    <w:rsid w:val="00E72ABE"/>
    <w:rsid w:val="00E74B35"/>
    <w:rsid w:val="00E75ACF"/>
    <w:rsid w:val="00E77645"/>
    <w:rsid w:val="00E77FA2"/>
    <w:rsid w:val="00E8018F"/>
    <w:rsid w:val="00E80979"/>
    <w:rsid w:val="00E8231A"/>
    <w:rsid w:val="00E835E4"/>
    <w:rsid w:val="00E83E2C"/>
    <w:rsid w:val="00E8448E"/>
    <w:rsid w:val="00E85DBC"/>
    <w:rsid w:val="00E86E0C"/>
    <w:rsid w:val="00E87976"/>
    <w:rsid w:val="00E96F61"/>
    <w:rsid w:val="00EA087C"/>
    <w:rsid w:val="00EA74A4"/>
    <w:rsid w:val="00EB6795"/>
    <w:rsid w:val="00EC0622"/>
    <w:rsid w:val="00EC1B72"/>
    <w:rsid w:val="00EC4A25"/>
    <w:rsid w:val="00EC6F47"/>
    <w:rsid w:val="00ED01D2"/>
    <w:rsid w:val="00ED0BE8"/>
    <w:rsid w:val="00ED2BD2"/>
    <w:rsid w:val="00ED41A4"/>
    <w:rsid w:val="00ED438D"/>
    <w:rsid w:val="00ED43E0"/>
    <w:rsid w:val="00ED5ECC"/>
    <w:rsid w:val="00EE089F"/>
    <w:rsid w:val="00EE0C35"/>
    <w:rsid w:val="00EE0FA8"/>
    <w:rsid w:val="00EE17E0"/>
    <w:rsid w:val="00EE5AA7"/>
    <w:rsid w:val="00EF2AAC"/>
    <w:rsid w:val="00EF6E5C"/>
    <w:rsid w:val="00EF7331"/>
    <w:rsid w:val="00F015FF"/>
    <w:rsid w:val="00F0230F"/>
    <w:rsid w:val="00F025A2"/>
    <w:rsid w:val="00F02CCF"/>
    <w:rsid w:val="00F04712"/>
    <w:rsid w:val="00F062A8"/>
    <w:rsid w:val="00F073A9"/>
    <w:rsid w:val="00F121EA"/>
    <w:rsid w:val="00F12212"/>
    <w:rsid w:val="00F15719"/>
    <w:rsid w:val="00F15E3B"/>
    <w:rsid w:val="00F16795"/>
    <w:rsid w:val="00F170F6"/>
    <w:rsid w:val="00F20437"/>
    <w:rsid w:val="00F20B16"/>
    <w:rsid w:val="00F21311"/>
    <w:rsid w:val="00F21ABF"/>
    <w:rsid w:val="00F2213C"/>
    <w:rsid w:val="00F2292D"/>
    <w:rsid w:val="00F22EC7"/>
    <w:rsid w:val="00F318A5"/>
    <w:rsid w:val="00F325C8"/>
    <w:rsid w:val="00F33F0F"/>
    <w:rsid w:val="00F35022"/>
    <w:rsid w:val="00F36A0F"/>
    <w:rsid w:val="00F41658"/>
    <w:rsid w:val="00F51455"/>
    <w:rsid w:val="00F52113"/>
    <w:rsid w:val="00F532E7"/>
    <w:rsid w:val="00F55B20"/>
    <w:rsid w:val="00F575C7"/>
    <w:rsid w:val="00F60159"/>
    <w:rsid w:val="00F620F2"/>
    <w:rsid w:val="00F621C8"/>
    <w:rsid w:val="00F62AEB"/>
    <w:rsid w:val="00F63E22"/>
    <w:rsid w:val="00F653B8"/>
    <w:rsid w:val="00F661D0"/>
    <w:rsid w:val="00F70647"/>
    <w:rsid w:val="00F74871"/>
    <w:rsid w:val="00F864C2"/>
    <w:rsid w:val="00F87815"/>
    <w:rsid w:val="00F90BBD"/>
    <w:rsid w:val="00F91FDE"/>
    <w:rsid w:val="00F95097"/>
    <w:rsid w:val="00F958BE"/>
    <w:rsid w:val="00F9610A"/>
    <w:rsid w:val="00F9714F"/>
    <w:rsid w:val="00F979BA"/>
    <w:rsid w:val="00FA0F0B"/>
    <w:rsid w:val="00FA1018"/>
    <w:rsid w:val="00FA1266"/>
    <w:rsid w:val="00FA49B6"/>
    <w:rsid w:val="00FA5178"/>
    <w:rsid w:val="00FB337A"/>
    <w:rsid w:val="00FB6DFA"/>
    <w:rsid w:val="00FB737D"/>
    <w:rsid w:val="00FC041F"/>
    <w:rsid w:val="00FC1192"/>
    <w:rsid w:val="00FC21A5"/>
    <w:rsid w:val="00FC39AF"/>
    <w:rsid w:val="00FC5B6D"/>
    <w:rsid w:val="00FC61CD"/>
    <w:rsid w:val="00FC6FCE"/>
    <w:rsid w:val="00FD246F"/>
    <w:rsid w:val="00FD3792"/>
    <w:rsid w:val="00FD5F68"/>
    <w:rsid w:val="00FE08BE"/>
    <w:rsid w:val="00FE1BCE"/>
    <w:rsid w:val="00FE26DE"/>
    <w:rsid w:val="00FE3BA8"/>
    <w:rsid w:val="00FE458C"/>
    <w:rsid w:val="00FE54BD"/>
    <w:rsid w:val="00FF13C9"/>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B2D"/>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before="0" w:beforeAutospacing="0" w:after="0"/>
    </w:pPr>
    <w:rPr>
      <w:rFonts w:ascii="Segoe UI" w:eastAsia="等线"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pPr>
      <w:spacing w:before="0" w:beforeAutospacing="0" w:after="0"/>
    </w:pPr>
    <w:rPr>
      <w:rFonts w:eastAsia="等线"/>
    </w:rP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spacing w:before="0" w:beforeAutospacing="0" w:after="0"/>
      <w:ind w:left="1701" w:hanging="1701"/>
    </w:pPr>
    <w:rPr>
      <w:rFonts w:eastAsia="等线"/>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spacing w:before="0" w:beforeAutospacing="0" w:after="0"/>
    </w:pPr>
    <w:rPr>
      <w:rFonts w:eastAsia="等线"/>
    </w:r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before="0" w:beforeAutospacing="0" w:after="0"/>
    </w:pPr>
    <w:rPr>
      <w:rFonts w:ascii="Arial" w:eastAsia="等线" w:hAnsi="Arial" w:cs="Arial"/>
      <w:b/>
    </w:rPr>
  </w:style>
  <w:style w:type="paragraph" w:customStyle="1" w:styleId="TAL">
    <w:name w:val="TAL"/>
    <w:basedOn w:val="a"/>
    <w:pPr>
      <w:keepNext/>
      <w:keepLines/>
      <w:spacing w:before="0" w:beforeAutospacing="0" w:after="0"/>
    </w:pPr>
    <w:rPr>
      <w:rFonts w:ascii="Arial" w:eastAsia="等线" w:hAnsi="Arial"/>
      <w:sz w:val="18"/>
    </w:rPr>
  </w:style>
  <w:style w:type="paragraph" w:customStyle="1" w:styleId="NO">
    <w:name w:val="NO"/>
    <w:basedOn w:val="a"/>
    <w:pPr>
      <w:keepLines/>
      <w:spacing w:before="0" w:beforeAutospacing="0" w:after="0"/>
      <w:ind w:left="1135" w:hanging="851"/>
    </w:pPr>
    <w:rPr>
      <w:rFonts w:eastAsia="等线"/>
    </w:rPr>
  </w:style>
  <w:style w:type="paragraph" w:customStyle="1" w:styleId="EW">
    <w:name w:val="EW"/>
    <w:basedOn w:val="EX"/>
    <w:pPr>
      <w:tabs>
        <w:tab w:val="left" w:pos="369"/>
      </w:tabs>
    </w:pPr>
  </w:style>
  <w:style w:type="paragraph" w:customStyle="1" w:styleId="B1">
    <w:name w:val="B1"/>
    <w:basedOn w:val="a"/>
    <w:link w:val="B1Char"/>
    <w:qFormat/>
    <w:pPr>
      <w:spacing w:before="0" w:beforeAutospacing="0" w:after="0"/>
      <w:ind w:left="568" w:hanging="284"/>
    </w:pPr>
    <w:rPr>
      <w:rFonts w:eastAsia="等线"/>
    </w:rPr>
  </w:style>
  <w:style w:type="paragraph" w:customStyle="1" w:styleId="Proposal">
    <w:name w:val="Proposal"/>
    <w:basedOn w:val="a"/>
    <w:pPr>
      <w:tabs>
        <w:tab w:val="left" w:pos="1701"/>
      </w:tabs>
      <w:spacing w:before="0" w:beforeAutospacing="0" w:after="0"/>
      <w:ind w:left="1701" w:hanging="1701"/>
    </w:pPr>
    <w:rPr>
      <w:rFonts w:eastAsia="等线"/>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spacing w:before="0" w:beforeAutospacing="0" w:after="0"/>
      <w:ind w:left="1135" w:hanging="284"/>
    </w:pPr>
    <w:rPr>
      <w:rFonts w:eastAsia="等线"/>
    </w:rPr>
  </w:style>
  <w:style w:type="paragraph" w:customStyle="1" w:styleId="TAC">
    <w:name w:val="TAC"/>
    <w:basedOn w:val="TAL"/>
    <w:link w:val="TACChar"/>
    <w:qFormat/>
    <w:pPr>
      <w:jc w:val="center"/>
    </w:pPr>
  </w:style>
  <w:style w:type="paragraph" w:customStyle="1" w:styleId="B2">
    <w:name w:val="B2"/>
    <w:basedOn w:val="a"/>
    <w:pPr>
      <w:spacing w:before="0" w:beforeAutospacing="0" w:after="0"/>
      <w:ind w:left="851" w:hanging="284"/>
    </w:pPr>
    <w:rPr>
      <w:rFonts w:eastAsia="等线"/>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pPr>
      <w:spacing w:before="0" w:beforeAutospacing="0" w:after="0"/>
    </w:pPr>
    <w:rPr>
      <w:rFonts w:eastAsia="等线"/>
      <w:i/>
      <w:color w:val="0000FF"/>
    </w:rPr>
  </w:style>
  <w:style w:type="paragraph" w:customStyle="1" w:styleId="B5">
    <w:name w:val="B5"/>
    <w:basedOn w:val="a"/>
    <w:pPr>
      <w:spacing w:before="0" w:beforeAutospacing="0" w:after="0"/>
      <w:ind w:left="1702" w:hanging="284"/>
    </w:pPr>
    <w:rPr>
      <w:rFonts w:eastAsia="等线"/>
    </w:r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beforeAutospacing="0" w:after="0"/>
      <w:jc w:val="center"/>
    </w:pPr>
    <w:rPr>
      <w:rFonts w:ascii="Arial" w:eastAsia="等线"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before="0" w:beforeAutospacing="0" w:after="0"/>
    </w:pPr>
    <w:rPr>
      <w:rFonts w:eastAsia="等线"/>
    </w:rPr>
  </w:style>
  <w:style w:type="paragraph" w:customStyle="1" w:styleId="NW">
    <w:name w:val="NW"/>
    <w:basedOn w:val="NO"/>
  </w:style>
  <w:style w:type="paragraph" w:customStyle="1" w:styleId="TAJ">
    <w:name w:val="TAJ"/>
    <w:basedOn w:val="TH"/>
  </w:style>
  <w:style w:type="paragraph" w:customStyle="1" w:styleId="B4">
    <w:name w:val="B4"/>
    <w:basedOn w:val="a"/>
    <w:pPr>
      <w:spacing w:before="0" w:beforeAutospacing="0" w:after="0"/>
      <w:ind w:left="1418" w:hanging="284"/>
    </w:pPr>
    <w:rPr>
      <w:rFonts w:eastAsia="等线"/>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spacing w:before="0" w:beforeAutospacing="0" w:after="0"/>
    </w:pPr>
    <w:rPr>
      <w:rFonts w:eastAsia="等线"/>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before="0" w:beforeAutospacing="0" w:after="200" w:line="276" w:lineRule="auto"/>
    </w:pPr>
    <w:rPr>
      <w:rFonts w:ascii="Calibri" w:eastAsia="等线" w:hAnsi="Calibri"/>
      <w:sz w:val="22"/>
      <w:szCs w:val="22"/>
    </w:rPr>
  </w:style>
  <w:style w:type="paragraph" w:styleId="ac">
    <w:name w:val="footnote text"/>
    <w:basedOn w:val="a"/>
    <w:link w:val="Char2"/>
    <w:uiPriority w:val="99"/>
    <w:unhideWhenUsed/>
    <w:rsid w:val="009A5EFF"/>
    <w:pPr>
      <w:spacing w:before="0" w:beforeAutospacing="0" w:after="0"/>
    </w:pPr>
    <w:rPr>
      <w:rFonts w:ascii="Calibri" w:eastAsia="等线"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spacing w:before="0" w:beforeAutospacing="0" w:after="0"/>
      <w:ind w:firstLineChars="200" w:firstLine="420"/>
    </w:pPr>
    <w:rPr>
      <w:rFonts w:eastAsia="等线"/>
    </w:rPr>
  </w:style>
  <w:style w:type="paragraph" w:customStyle="1" w:styleId="11">
    <w:name w:val="列出段落1"/>
    <w:basedOn w:val="a"/>
    <w:rsid w:val="001D4333"/>
    <w:pPr>
      <w:spacing w:before="0" w:beforeAutospacing="0" w:after="0"/>
      <w:ind w:firstLineChars="200" w:firstLine="420"/>
    </w:pPr>
    <w:rPr>
      <w:rFonts w:eastAsia="等线"/>
    </w:rPr>
  </w:style>
  <w:style w:type="paragraph" w:styleId="af0">
    <w:name w:val="Normal (Web)"/>
    <w:basedOn w:val="a"/>
    <w:uiPriority w:val="99"/>
    <w:unhideWhenUsed/>
    <w:rsid w:val="00D014DF"/>
    <w:pPr>
      <w:spacing w:after="100" w:afterAutospacing="1"/>
    </w:pPr>
    <w:rPr>
      <w:rFonts w:ascii="宋体" w:hAnsi="宋体" w:cs="宋体"/>
    </w:rPr>
  </w:style>
  <w:style w:type="table" w:styleId="4-6">
    <w:name w:val="Grid Table 4 Accent 6"/>
    <w:basedOn w:val="a1"/>
    <w:uiPriority w:val="49"/>
    <w:rsid w:val="00E24807"/>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A57483"/>
    <w:rPr>
      <w:rFonts w:ascii="Arial" w:hAnsi="Arial" w:cs="Arial" w:hint="default"/>
      <w:sz w:val="18"/>
      <w:szCs w:val="18"/>
    </w:rPr>
  </w:style>
  <w:style w:type="paragraph" w:customStyle="1" w:styleId="21">
    <w:name w:val="列出段落2"/>
    <w:basedOn w:val="a"/>
    <w:rsid w:val="004B514D"/>
    <w:pPr>
      <w:overflowPunct w:val="0"/>
      <w:autoSpaceDE w:val="0"/>
      <w:autoSpaceDN w:val="0"/>
      <w:adjustRightInd w:val="0"/>
      <w:ind w:firstLineChars="200" w:firstLine="420"/>
      <w:textAlignment w:val="baseline"/>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11105731">
      <w:bodyDiv w:val="1"/>
      <w:marLeft w:val="0"/>
      <w:marRight w:val="0"/>
      <w:marTop w:val="0"/>
      <w:marBottom w:val="0"/>
      <w:divBdr>
        <w:top w:val="none" w:sz="0" w:space="0" w:color="auto"/>
        <w:left w:val="none" w:sz="0" w:space="0" w:color="auto"/>
        <w:bottom w:val="none" w:sz="0" w:space="0" w:color="auto"/>
        <w:right w:val="none" w:sz="0" w:space="0" w:color="auto"/>
      </w:divBdr>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74792175">
      <w:bodyDiv w:val="1"/>
      <w:marLeft w:val="0"/>
      <w:marRight w:val="0"/>
      <w:marTop w:val="0"/>
      <w:marBottom w:val="0"/>
      <w:divBdr>
        <w:top w:val="none" w:sz="0" w:space="0" w:color="auto"/>
        <w:left w:val="none" w:sz="0" w:space="0" w:color="auto"/>
        <w:bottom w:val="none" w:sz="0" w:space="0" w:color="auto"/>
        <w:right w:val="none" w:sz="0" w:space="0" w:color="auto"/>
      </w:divBdr>
    </w:div>
    <w:div w:id="78917220">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169029231">
      <w:bodyDiv w:val="1"/>
      <w:marLeft w:val="0"/>
      <w:marRight w:val="0"/>
      <w:marTop w:val="0"/>
      <w:marBottom w:val="0"/>
      <w:divBdr>
        <w:top w:val="none" w:sz="0" w:space="0" w:color="auto"/>
        <w:left w:val="none" w:sz="0" w:space="0" w:color="auto"/>
        <w:bottom w:val="none" w:sz="0" w:space="0" w:color="auto"/>
        <w:right w:val="none" w:sz="0" w:space="0" w:color="auto"/>
      </w:divBdr>
    </w:div>
    <w:div w:id="238561737">
      <w:bodyDiv w:val="1"/>
      <w:marLeft w:val="0"/>
      <w:marRight w:val="0"/>
      <w:marTop w:val="0"/>
      <w:marBottom w:val="0"/>
      <w:divBdr>
        <w:top w:val="none" w:sz="0" w:space="0" w:color="auto"/>
        <w:left w:val="none" w:sz="0" w:space="0" w:color="auto"/>
        <w:bottom w:val="none" w:sz="0" w:space="0" w:color="auto"/>
        <w:right w:val="none" w:sz="0" w:space="0" w:color="auto"/>
      </w:divBdr>
    </w:div>
    <w:div w:id="251399960">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346635370">
      <w:bodyDiv w:val="1"/>
      <w:marLeft w:val="0"/>
      <w:marRight w:val="0"/>
      <w:marTop w:val="0"/>
      <w:marBottom w:val="0"/>
      <w:divBdr>
        <w:top w:val="none" w:sz="0" w:space="0" w:color="auto"/>
        <w:left w:val="none" w:sz="0" w:space="0" w:color="auto"/>
        <w:bottom w:val="none" w:sz="0" w:space="0" w:color="auto"/>
        <w:right w:val="none" w:sz="0" w:space="0" w:color="auto"/>
      </w:divBdr>
    </w:div>
    <w:div w:id="364717833">
      <w:bodyDiv w:val="1"/>
      <w:marLeft w:val="0"/>
      <w:marRight w:val="0"/>
      <w:marTop w:val="0"/>
      <w:marBottom w:val="0"/>
      <w:divBdr>
        <w:top w:val="none" w:sz="0" w:space="0" w:color="auto"/>
        <w:left w:val="none" w:sz="0" w:space="0" w:color="auto"/>
        <w:bottom w:val="none" w:sz="0" w:space="0" w:color="auto"/>
        <w:right w:val="none" w:sz="0" w:space="0" w:color="auto"/>
      </w:divBdr>
    </w:div>
    <w:div w:id="369380012">
      <w:bodyDiv w:val="1"/>
      <w:marLeft w:val="0"/>
      <w:marRight w:val="0"/>
      <w:marTop w:val="0"/>
      <w:marBottom w:val="0"/>
      <w:divBdr>
        <w:top w:val="none" w:sz="0" w:space="0" w:color="auto"/>
        <w:left w:val="none" w:sz="0" w:space="0" w:color="auto"/>
        <w:bottom w:val="none" w:sz="0" w:space="0" w:color="auto"/>
        <w:right w:val="none" w:sz="0" w:space="0" w:color="auto"/>
      </w:divBdr>
      <w:divsChild>
        <w:div w:id="882788883">
          <w:marLeft w:val="360"/>
          <w:marRight w:val="0"/>
          <w:marTop w:val="200"/>
          <w:marBottom w:val="0"/>
          <w:divBdr>
            <w:top w:val="none" w:sz="0" w:space="0" w:color="auto"/>
            <w:left w:val="none" w:sz="0" w:space="0" w:color="auto"/>
            <w:bottom w:val="none" w:sz="0" w:space="0" w:color="auto"/>
            <w:right w:val="none" w:sz="0" w:space="0" w:color="auto"/>
          </w:divBdr>
        </w:div>
        <w:div w:id="737360318">
          <w:marLeft w:val="965"/>
          <w:marRight w:val="0"/>
          <w:marTop w:val="100"/>
          <w:marBottom w:val="0"/>
          <w:divBdr>
            <w:top w:val="none" w:sz="0" w:space="0" w:color="auto"/>
            <w:left w:val="none" w:sz="0" w:space="0" w:color="auto"/>
            <w:bottom w:val="none" w:sz="0" w:space="0" w:color="auto"/>
            <w:right w:val="none" w:sz="0" w:space="0" w:color="auto"/>
          </w:divBdr>
        </w:div>
        <w:div w:id="988481487">
          <w:marLeft w:val="1354"/>
          <w:marRight w:val="0"/>
          <w:marTop w:val="100"/>
          <w:marBottom w:val="0"/>
          <w:divBdr>
            <w:top w:val="none" w:sz="0" w:space="0" w:color="auto"/>
            <w:left w:val="none" w:sz="0" w:space="0" w:color="auto"/>
            <w:bottom w:val="none" w:sz="0" w:space="0" w:color="auto"/>
            <w:right w:val="none" w:sz="0" w:space="0" w:color="auto"/>
          </w:divBdr>
        </w:div>
        <w:div w:id="1739134324">
          <w:marLeft w:val="1354"/>
          <w:marRight w:val="0"/>
          <w:marTop w:val="100"/>
          <w:marBottom w:val="0"/>
          <w:divBdr>
            <w:top w:val="none" w:sz="0" w:space="0" w:color="auto"/>
            <w:left w:val="none" w:sz="0" w:space="0" w:color="auto"/>
            <w:bottom w:val="none" w:sz="0" w:space="0" w:color="auto"/>
            <w:right w:val="none" w:sz="0" w:space="0" w:color="auto"/>
          </w:divBdr>
        </w:div>
        <w:div w:id="48264283">
          <w:marLeft w:val="965"/>
          <w:marRight w:val="0"/>
          <w:marTop w:val="100"/>
          <w:marBottom w:val="0"/>
          <w:divBdr>
            <w:top w:val="none" w:sz="0" w:space="0" w:color="auto"/>
            <w:left w:val="none" w:sz="0" w:space="0" w:color="auto"/>
            <w:bottom w:val="none" w:sz="0" w:space="0" w:color="auto"/>
            <w:right w:val="none" w:sz="0" w:space="0" w:color="auto"/>
          </w:divBdr>
        </w:div>
        <w:div w:id="1091198948">
          <w:marLeft w:val="1354"/>
          <w:marRight w:val="0"/>
          <w:marTop w:val="100"/>
          <w:marBottom w:val="0"/>
          <w:divBdr>
            <w:top w:val="none" w:sz="0" w:space="0" w:color="auto"/>
            <w:left w:val="none" w:sz="0" w:space="0" w:color="auto"/>
            <w:bottom w:val="none" w:sz="0" w:space="0" w:color="auto"/>
            <w:right w:val="none" w:sz="0" w:space="0" w:color="auto"/>
          </w:divBdr>
        </w:div>
        <w:div w:id="1451776003">
          <w:marLeft w:val="965"/>
          <w:marRight w:val="0"/>
          <w:marTop w:val="100"/>
          <w:marBottom w:val="0"/>
          <w:divBdr>
            <w:top w:val="none" w:sz="0" w:space="0" w:color="auto"/>
            <w:left w:val="none" w:sz="0" w:space="0" w:color="auto"/>
            <w:bottom w:val="none" w:sz="0" w:space="0" w:color="auto"/>
            <w:right w:val="none" w:sz="0" w:space="0" w:color="auto"/>
          </w:divBdr>
        </w:div>
        <w:div w:id="224342316">
          <w:marLeft w:val="1354"/>
          <w:marRight w:val="0"/>
          <w:marTop w:val="100"/>
          <w:marBottom w:val="0"/>
          <w:divBdr>
            <w:top w:val="none" w:sz="0" w:space="0" w:color="auto"/>
            <w:left w:val="none" w:sz="0" w:space="0" w:color="auto"/>
            <w:bottom w:val="none" w:sz="0" w:space="0" w:color="auto"/>
            <w:right w:val="none" w:sz="0" w:space="0" w:color="auto"/>
          </w:divBdr>
        </w:div>
        <w:div w:id="1874684862">
          <w:marLeft w:val="965"/>
          <w:marRight w:val="0"/>
          <w:marTop w:val="100"/>
          <w:marBottom w:val="0"/>
          <w:divBdr>
            <w:top w:val="none" w:sz="0" w:space="0" w:color="auto"/>
            <w:left w:val="none" w:sz="0" w:space="0" w:color="auto"/>
            <w:bottom w:val="none" w:sz="0" w:space="0" w:color="auto"/>
            <w:right w:val="none" w:sz="0" w:space="0" w:color="auto"/>
          </w:divBdr>
        </w:div>
        <w:div w:id="1071195247">
          <w:marLeft w:val="1354"/>
          <w:marRight w:val="0"/>
          <w:marTop w:val="100"/>
          <w:marBottom w:val="0"/>
          <w:divBdr>
            <w:top w:val="none" w:sz="0" w:space="0" w:color="auto"/>
            <w:left w:val="none" w:sz="0" w:space="0" w:color="auto"/>
            <w:bottom w:val="none" w:sz="0" w:space="0" w:color="auto"/>
            <w:right w:val="none" w:sz="0" w:space="0" w:color="auto"/>
          </w:divBdr>
        </w:div>
        <w:div w:id="107815792">
          <w:marLeft w:val="1354"/>
          <w:marRight w:val="0"/>
          <w:marTop w:val="100"/>
          <w:marBottom w:val="0"/>
          <w:divBdr>
            <w:top w:val="none" w:sz="0" w:space="0" w:color="auto"/>
            <w:left w:val="none" w:sz="0" w:space="0" w:color="auto"/>
            <w:bottom w:val="none" w:sz="0" w:space="0" w:color="auto"/>
            <w:right w:val="none" w:sz="0" w:space="0" w:color="auto"/>
          </w:divBdr>
        </w:div>
      </w:divsChild>
    </w:div>
    <w:div w:id="404962641">
      <w:bodyDiv w:val="1"/>
      <w:marLeft w:val="0"/>
      <w:marRight w:val="0"/>
      <w:marTop w:val="0"/>
      <w:marBottom w:val="0"/>
      <w:divBdr>
        <w:top w:val="none" w:sz="0" w:space="0" w:color="auto"/>
        <w:left w:val="none" w:sz="0" w:space="0" w:color="auto"/>
        <w:bottom w:val="none" w:sz="0" w:space="0" w:color="auto"/>
        <w:right w:val="none" w:sz="0" w:space="0" w:color="auto"/>
      </w:divBdr>
    </w:div>
    <w:div w:id="413017857">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524364070">
      <w:bodyDiv w:val="1"/>
      <w:marLeft w:val="0"/>
      <w:marRight w:val="0"/>
      <w:marTop w:val="0"/>
      <w:marBottom w:val="0"/>
      <w:divBdr>
        <w:top w:val="none" w:sz="0" w:space="0" w:color="auto"/>
        <w:left w:val="none" w:sz="0" w:space="0" w:color="auto"/>
        <w:bottom w:val="none" w:sz="0" w:space="0" w:color="auto"/>
        <w:right w:val="none" w:sz="0" w:space="0" w:color="auto"/>
      </w:divBdr>
    </w:div>
    <w:div w:id="552472662">
      <w:bodyDiv w:val="1"/>
      <w:marLeft w:val="0"/>
      <w:marRight w:val="0"/>
      <w:marTop w:val="0"/>
      <w:marBottom w:val="0"/>
      <w:divBdr>
        <w:top w:val="none" w:sz="0" w:space="0" w:color="auto"/>
        <w:left w:val="none" w:sz="0" w:space="0" w:color="auto"/>
        <w:bottom w:val="none" w:sz="0" w:space="0" w:color="auto"/>
        <w:right w:val="none" w:sz="0" w:space="0" w:color="auto"/>
      </w:divBdr>
    </w:div>
    <w:div w:id="597981625">
      <w:bodyDiv w:val="1"/>
      <w:marLeft w:val="0"/>
      <w:marRight w:val="0"/>
      <w:marTop w:val="0"/>
      <w:marBottom w:val="0"/>
      <w:divBdr>
        <w:top w:val="none" w:sz="0" w:space="0" w:color="auto"/>
        <w:left w:val="none" w:sz="0" w:space="0" w:color="auto"/>
        <w:bottom w:val="none" w:sz="0" w:space="0" w:color="auto"/>
        <w:right w:val="none" w:sz="0" w:space="0" w:color="auto"/>
      </w:divBdr>
    </w:div>
    <w:div w:id="626199175">
      <w:bodyDiv w:val="1"/>
      <w:marLeft w:val="0"/>
      <w:marRight w:val="0"/>
      <w:marTop w:val="0"/>
      <w:marBottom w:val="0"/>
      <w:divBdr>
        <w:top w:val="none" w:sz="0" w:space="0" w:color="auto"/>
        <w:left w:val="none" w:sz="0" w:space="0" w:color="auto"/>
        <w:bottom w:val="none" w:sz="0" w:space="0" w:color="auto"/>
        <w:right w:val="none" w:sz="0" w:space="0" w:color="auto"/>
      </w:divBdr>
    </w:div>
    <w:div w:id="626469799">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709767580">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898324456">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977149891">
      <w:bodyDiv w:val="1"/>
      <w:marLeft w:val="0"/>
      <w:marRight w:val="0"/>
      <w:marTop w:val="0"/>
      <w:marBottom w:val="0"/>
      <w:divBdr>
        <w:top w:val="none" w:sz="0" w:space="0" w:color="auto"/>
        <w:left w:val="none" w:sz="0" w:space="0" w:color="auto"/>
        <w:bottom w:val="none" w:sz="0" w:space="0" w:color="auto"/>
        <w:right w:val="none" w:sz="0" w:space="0" w:color="auto"/>
      </w:divBdr>
    </w:div>
    <w:div w:id="998074601">
      <w:bodyDiv w:val="1"/>
      <w:marLeft w:val="0"/>
      <w:marRight w:val="0"/>
      <w:marTop w:val="0"/>
      <w:marBottom w:val="0"/>
      <w:divBdr>
        <w:top w:val="none" w:sz="0" w:space="0" w:color="auto"/>
        <w:left w:val="none" w:sz="0" w:space="0" w:color="auto"/>
        <w:bottom w:val="none" w:sz="0" w:space="0" w:color="auto"/>
        <w:right w:val="none" w:sz="0" w:space="0" w:color="auto"/>
      </w:divBdr>
    </w:div>
    <w:div w:id="1114907470">
      <w:bodyDiv w:val="1"/>
      <w:marLeft w:val="0"/>
      <w:marRight w:val="0"/>
      <w:marTop w:val="0"/>
      <w:marBottom w:val="0"/>
      <w:divBdr>
        <w:top w:val="none" w:sz="0" w:space="0" w:color="auto"/>
        <w:left w:val="none" w:sz="0" w:space="0" w:color="auto"/>
        <w:bottom w:val="none" w:sz="0" w:space="0" w:color="auto"/>
        <w:right w:val="none" w:sz="0" w:space="0" w:color="auto"/>
      </w:divBdr>
    </w:div>
    <w:div w:id="1121339489">
      <w:bodyDiv w:val="1"/>
      <w:marLeft w:val="0"/>
      <w:marRight w:val="0"/>
      <w:marTop w:val="0"/>
      <w:marBottom w:val="0"/>
      <w:divBdr>
        <w:top w:val="none" w:sz="0" w:space="0" w:color="auto"/>
        <w:left w:val="none" w:sz="0" w:space="0" w:color="auto"/>
        <w:bottom w:val="none" w:sz="0" w:space="0" w:color="auto"/>
        <w:right w:val="none" w:sz="0" w:space="0" w:color="auto"/>
      </w:divBdr>
    </w:div>
    <w:div w:id="1124930342">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18249962">
      <w:bodyDiv w:val="1"/>
      <w:marLeft w:val="0"/>
      <w:marRight w:val="0"/>
      <w:marTop w:val="0"/>
      <w:marBottom w:val="0"/>
      <w:divBdr>
        <w:top w:val="none" w:sz="0" w:space="0" w:color="auto"/>
        <w:left w:val="none" w:sz="0" w:space="0" w:color="auto"/>
        <w:bottom w:val="none" w:sz="0" w:space="0" w:color="auto"/>
        <w:right w:val="none" w:sz="0" w:space="0" w:color="auto"/>
      </w:divBdr>
      <w:divsChild>
        <w:div w:id="1842893339">
          <w:marLeft w:val="547"/>
          <w:marRight w:val="0"/>
          <w:marTop w:val="115"/>
          <w:marBottom w:val="0"/>
          <w:divBdr>
            <w:top w:val="none" w:sz="0" w:space="0" w:color="auto"/>
            <w:left w:val="none" w:sz="0" w:space="0" w:color="auto"/>
            <w:bottom w:val="none" w:sz="0" w:space="0" w:color="auto"/>
            <w:right w:val="none" w:sz="0" w:space="0" w:color="auto"/>
          </w:divBdr>
        </w:div>
        <w:div w:id="1885362197">
          <w:marLeft w:val="1166"/>
          <w:marRight w:val="0"/>
          <w:marTop w:val="106"/>
          <w:marBottom w:val="0"/>
          <w:divBdr>
            <w:top w:val="none" w:sz="0" w:space="0" w:color="auto"/>
            <w:left w:val="none" w:sz="0" w:space="0" w:color="auto"/>
            <w:bottom w:val="none" w:sz="0" w:space="0" w:color="auto"/>
            <w:right w:val="none" w:sz="0" w:space="0" w:color="auto"/>
          </w:divBdr>
        </w:div>
        <w:div w:id="396707017">
          <w:marLeft w:val="1800"/>
          <w:marRight w:val="0"/>
          <w:marTop w:val="96"/>
          <w:marBottom w:val="0"/>
          <w:divBdr>
            <w:top w:val="none" w:sz="0" w:space="0" w:color="auto"/>
            <w:left w:val="none" w:sz="0" w:space="0" w:color="auto"/>
            <w:bottom w:val="none" w:sz="0" w:space="0" w:color="auto"/>
            <w:right w:val="none" w:sz="0" w:space="0" w:color="auto"/>
          </w:divBdr>
        </w:div>
        <w:div w:id="672687535">
          <w:marLeft w:val="1800"/>
          <w:marRight w:val="0"/>
          <w:marTop w:val="96"/>
          <w:marBottom w:val="0"/>
          <w:divBdr>
            <w:top w:val="none" w:sz="0" w:space="0" w:color="auto"/>
            <w:left w:val="none" w:sz="0" w:space="0" w:color="auto"/>
            <w:bottom w:val="none" w:sz="0" w:space="0" w:color="auto"/>
            <w:right w:val="none" w:sz="0" w:space="0" w:color="auto"/>
          </w:divBdr>
        </w:div>
        <w:div w:id="1238436752">
          <w:marLeft w:val="1800"/>
          <w:marRight w:val="0"/>
          <w:marTop w:val="96"/>
          <w:marBottom w:val="0"/>
          <w:divBdr>
            <w:top w:val="none" w:sz="0" w:space="0" w:color="auto"/>
            <w:left w:val="none" w:sz="0" w:space="0" w:color="auto"/>
            <w:bottom w:val="none" w:sz="0" w:space="0" w:color="auto"/>
            <w:right w:val="none" w:sz="0" w:space="0" w:color="auto"/>
          </w:divBdr>
        </w:div>
        <w:div w:id="216362702">
          <w:marLeft w:val="1166"/>
          <w:marRight w:val="0"/>
          <w:marTop w:val="106"/>
          <w:marBottom w:val="0"/>
          <w:divBdr>
            <w:top w:val="none" w:sz="0" w:space="0" w:color="auto"/>
            <w:left w:val="none" w:sz="0" w:space="0" w:color="auto"/>
            <w:bottom w:val="none" w:sz="0" w:space="0" w:color="auto"/>
            <w:right w:val="none" w:sz="0" w:space="0" w:color="auto"/>
          </w:divBdr>
        </w:div>
        <w:div w:id="1787197130">
          <w:marLeft w:val="1166"/>
          <w:marRight w:val="0"/>
          <w:marTop w:val="106"/>
          <w:marBottom w:val="0"/>
          <w:divBdr>
            <w:top w:val="none" w:sz="0" w:space="0" w:color="auto"/>
            <w:left w:val="none" w:sz="0" w:space="0" w:color="auto"/>
            <w:bottom w:val="none" w:sz="0" w:space="0" w:color="auto"/>
            <w:right w:val="none" w:sz="0" w:space="0" w:color="auto"/>
          </w:divBdr>
        </w:div>
      </w:divsChild>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263031320">
      <w:bodyDiv w:val="1"/>
      <w:marLeft w:val="0"/>
      <w:marRight w:val="0"/>
      <w:marTop w:val="0"/>
      <w:marBottom w:val="0"/>
      <w:divBdr>
        <w:top w:val="none" w:sz="0" w:space="0" w:color="auto"/>
        <w:left w:val="none" w:sz="0" w:space="0" w:color="auto"/>
        <w:bottom w:val="none" w:sz="0" w:space="0" w:color="auto"/>
        <w:right w:val="none" w:sz="0" w:space="0" w:color="auto"/>
      </w:divBdr>
    </w:div>
    <w:div w:id="1300458814">
      <w:bodyDiv w:val="1"/>
      <w:marLeft w:val="0"/>
      <w:marRight w:val="0"/>
      <w:marTop w:val="0"/>
      <w:marBottom w:val="0"/>
      <w:divBdr>
        <w:top w:val="none" w:sz="0" w:space="0" w:color="auto"/>
        <w:left w:val="none" w:sz="0" w:space="0" w:color="auto"/>
        <w:bottom w:val="none" w:sz="0" w:space="0" w:color="auto"/>
        <w:right w:val="none" w:sz="0" w:space="0" w:color="auto"/>
      </w:divBdr>
      <w:divsChild>
        <w:div w:id="1106996807">
          <w:marLeft w:val="547"/>
          <w:marRight w:val="0"/>
          <w:marTop w:val="115"/>
          <w:marBottom w:val="0"/>
          <w:divBdr>
            <w:top w:val="none" w:sz="0" w:space="0" w:color="auto"/>
            <w:left w:val="none" w:sz="0" w:space="0" w:color="auto"/>
            <w:bottom w:val="none" w:sz="0" w:space="0" w:color="auto"/>
            <w:right w:val="none" w:sz="0" w:space="0" w:color="auto"/>
          </w:divBdr>
        </w:div>
        <w:div w:id="1045593477">
          <w:marLeft w:val="1166"/>
          <w:marRight w:val="0"/>
          <w:marTop w:val="106"/>
          <w:marBottom w:val="0"/>
          <w:divBdr>
            <w:top w:val="none" w:sz="0" w:space="0" w:color="auto"/>
            <w:left w:val="none" w:sz="0" w:space="0" w:color="auto"/>
            <w:bottom w:val="none" w:sz="0" w:space="0" w:color="auto"/>
            <w:right w:val="none" w:sz="0" w:space="0" w:color="auto"/>
          </w:divBdr>
        </w:div>
        <w:div w:id="574247483">
          <w:marLeft w:val="1166"/>
          <w:marRight w:val="0"/>
          <w:marTop w:val="106"/>
          <w:marBottom w:val="0"/>
          <w:divBdr>
            <w:top w:val="none" w:sz="0" w:space="0" w:color="auto"/>
            <w:left w:val="none" w:sz="0" w:space="0" w:color="auto"/>
            <w:bottom w:val="none" w:sz="0" w:space="0" w:color="auto"/>
            <w:right w:val="none" w:sz="0" w:space="0" w:color="auto"/>
          </w:divBdr>
        </w:div>
        <w:div w:id="1428501513">
          <w:marLeft w:val="547"/>
          <w:marRight w:val="0"/>
          <w:marTop w:val="115"/>
          <w:marBottom w:val="0"/>
          <w:divBdr>
            <w:top w:val="none" w:sz="0" w:space="0" w:color="auto"/>
            <w:left w:val="none" w:sz="0" w:space="0" w:color="auto"/>
            <w:bottom w:val="none" w:sz="0" w:space="0" w:color="auto"/>
            <w:right w:val="none" w:sz="0" w:space="0" w:color="auto"/>
          </w:divBdr>
        </w:div>
      </w:divsChild>
    </w:div>
    <w:div w:id="1309440645">
      <w:bodyDiv w:val="1"/>
      <w:marLeft w:val="0"/>
      <w:marRight w:val="0"/>
      <w:marTop w:val="0"/>
      <w:marBottom w:val="0"/>
      <w:divBdr>
        <w:top w:val="none" w:sz="0" w:space="0" w:color="auto"/>
        <w:left w:val="none" w:sz="0" w:space="0" w:color="auto"/>
        <w:bottom w:val="none" w:sz="0" w:space="0" w:color="auto"/>
        <w:right w:val="none" w:sz="0" w:space="0" w:color="auto"/>
      </w:divBdr>
    </w:div>
    <w:div w:id="1328827565">
      <w:bodyDiv w:val="1"/>
      <w:marLeft w:val="0"/>
      <w:marRight w:val="0"/>
      <w:marTop w:val="0"/>
      <w:marBottom w:val="0"/>
      <w:divBdr>
        <w:top w:val="none" w:sz="0" w:space="0" w:color="auto"/>
        <w:left w:val="none" w:sz="0" w:space="0" w:color="auto"/>
        <w:bottom w:val="none" w:sz="0" w:space="0" w:color="auto"/>
        <w:right w:val="none" w:sz="0" w:space="0" w:color="auto"/>
      </w:divBdr>
    </w:div>
    <w:div w:id="1336227902">
      <w:bodyDiv w:val="1"/>
      <w:marLeft w:val="0"/>
      <w:marRight w:val="0"/>
      <w:marTop w:val="0"/>
      <w:marBottom w:val="0"/>
      <w:divBdr>
        <w:top w:val="none" w:sz="0" w:space="0" w:color="auto"/>
        <w:left w:val="none" w:sz="0" w:space="0" w:color="auto"/>
        <w:bottom w:val="none" w:sz="0" w:space="0" w:color="auto"/>
        <w:right w:val="none" w:sz="0" w:space="0" w:color="auto"/>
      </w:divBdr>
    </w:div>
    <w:div w:id="1351294226">
      <w:bodyDiv w:val="1"/>
      <w:marLeft w:val="0"/>
      <w:marRight w:val="0"/>
      <w:marTop w:val="0"/>
      <w:marBottom w:val="0"/>
      <w:divBdr>
        <w:top w:val="none" w:sz="0" w:space="0" w:color="auto"/>
        <w:left w:val="none" w:sz="0" w:space="0" w:color="auto"/>
        <w:bottom w:val="none" w:sz="0" w:space="0" w:color="auto"/>
        <w:right w:val="none" w:sz="0" w:space="0" w:color="auto"/>
      </w:divBdr>
    </w:div>
    <w:div w:id="1397320768">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42009777">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609776858">
      <w:bodyDiv w:val="1"/>
      <w:marLeft w:val="0"/>
      <w:marRight w:val="0"/>
      <w:marTop w:val="0"/>
      <w:marBottom w:val="0"/>
      <w:divBdr>
        <w:top w:val="none" w:sz="0" w:space="0" w:color="auto"/>
        <w:left w:val="none" w:sz="0" w:space="0" w:color="auto"/>
        <w:bottom w:val="none" w:sz="0" w:space="0" w:color="auto"/>
        <w:right w:val="none" w:sz="0" w:space="0" w:color="auto"/>
      </w:divBdr>
    </w:div>
    <w:div w:id="1663657807">
      <w:bodyDiv w:val="1"/>
      <w:marLeft w:val="0"/>
      <w:marRight w:val="0"/>
      <w:marTop w:val="0"/>
      <w:marBottom w:val="0"/>
      <w:divBdr>
        <w:top w:val="none" w:sz="0" w:space="0" w:color="auto"/>
        <w:left w:val="none" w:sz="0" w:space="0" w:color="auto"/>
        <w:bottom w:val="none" w:sz="0" w:space="0" w:color="auto"/>
        <w:right w:val="none" w:sz="0" w:space="0" w:color="auto"/>
      </w:divBdr>
    </w:div>
    <w:div w:id="1702903098">
      <w:bodyDiv w:val="1"/>
      <w:marLeft w:val="0"/>
      <w:marRight w:val="0"/>
      <w:marTop w:val="0"/>
      <w:marBottom w:val="0"/>
      <w:divBdr>
        <w:top w:val="none" w:sz="0" w:space="0" w:color="auto"/>
        <w:left w:val="none" w:sz="0" w:space="0" w:color="auto"/>
        <w:bottom w:val="none" w:sz="0" w:space="0" w:color="auto"/>
        <w:right w:val="none" w:sz="0" w:space="0" w:color="auto"/>
      </w:divBdr>
    </w:div>
    <w:div w:id="1793206850">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444382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905068505">
      <w:bodyDiv w:val="1"/>
      <w:marLeft w:val="0"/>
      <w:marRight w:val="0"/>
      <w:marTop w:val="0"/>
      <w:marBottom w:val="0"/>
      <w:divBdr>
        <w:top w:val="none" w:sz="0" w:space="0" w:color="auto"/>
        <w:left w:val="none" w:sz="0" w:space="0" w:color="auto"/>
        <w:bottom w:val="none" w:sz="0" w:space="0" w:color="auto"/>
        <w:right w:val="none" w:sz="0" w:space="0" w:color="auto"/>
      </w:divBdr>
    </w:div>
    <w:div w:id="1961839736">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17674886">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0EE2B-0BC9-4336-B6B3-4A1F193B0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TotalTime>
  <Pages>3</Pages>
  <Words>942</Words>
  <Characters>5372</Characters>
  <Application>Microsoft Office Word</Application>
  <DocSecurity>0</DocSecurity>
  <Lines>44</Lines>
  <Paragraphs>12</Paragraphs>
  <ScaleCrop>false</ScaleCrop>
  <Manager/>
  <Company>Apple Inc</Company>
  <LinksUpToDate>false</LinksUpToDate>
  <CharactersWithSpaces>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Zhifeng-Rev</cp:lastModifiedBy>
  <cp:revision>26</cp:revision>
  <cp:lastPrinted>2019-02-25T14:05:00Z</cp:lastPrinted>
  <dcterms:created xsi:type="dcterms:W3CDTF">2021-10-17T15:39:00Z</dcterms:created>
  <dcterms:modified xsi:type="dcterms:W3CDTF">2021-10-22T13:50:00Z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